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19</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Methodology</w:t>
      </w:r>
    </w:p>
    <w:p>
      <w:pPr>
        <w:spacing w:after="240"/>
      </w:pPr>
      <w:r>
        <w:rPr>
          <w:b/>
          <w:bCs/>
          <w:color w:val="0D1220"/>
          <w:sz w:val="52"/>
          <w:szCs w:val="52"/>
        </w:rPr>
        <w:t xml:space="preserve">Handbook</w:t>
      </w:r>
    </w:p>
    <w:p>
      <w:pPr>
        <w:spacing w:after="400"/>
      </w:pPr>
      <w:r>
        <w:rPr>
          <w:color w:val="1F2744"/>
          <w:sz w:val="26"/>
          <w:szCs w:val="26"/>
        </w:rPr>
        <w:t xml:space="preserve">The full operational specification for every one of the 72 metrics in the Family Court Metric Catalog, organized by role.</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Data Ethics Review · Methodology Board · Technical Reviewers</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spacing w:after="40" w:before="240"/>
      </w:pPr>
      <w:r>
        <w:rPr>
          <w:b/>
          <w:bCs/>
          <w:color w:val="B8371F"/>
          <w:spacing w:val="40"/>
          <w:sz w:val="18"/>
          <w:szCs w:val="18"/>
        </w:rPr>
        <w:t xml:space="preserve">USING THIS HANDBOOK</w:t>
      </w:r>
    </w:p>
    <w:p>
      <w:pPr>
        <w:pStyle w:val="Heading1"/>
      </w:pPr>
      <w:r>
        <w:t xml:space="preserve">How Each Metric Is Specified</w:t>
      </w:r>
    </w:p>
    <w:p>
      <w:pPr>
        <w:spacing w:after="160"/>
      </w:pPr>
      <w:r>
        <w:t xml:space="preserve">Every metric in the Catalog has the same twelve specification fields. The specification is the source of truth for the automated pipeline; if the published computation diverges from the specification, the specification wins and the pipeline is considered broken until reconciled.</w:t>
      </w:r>
    </w:p>
    <w:p>
      <w:pPr>
        <w:pStyle w:val="ListParagraph"/>
        <w:numPr>
          <w:ilvl w:val="0"/>
          <w:numId w:val="2"/>
        </w:numPr>
        <w:spacing w:after="80"/>
      </w:pPr>
      <w:r>
        <w:t xml:space="preserve">DEFINITION — the precise operational definition, written so that two independent implementations would produce the same value.</w:t>
      </w:r>
    </w:p>
    <w:p>
      <w:pPr>
        <w:pStyle w:val="ListParagraph"/>
        <w:numPr>
          <w:ilvl w:val="0"/>
          <w:numId w:val="2"/>
        </w:numPr>
        <w:spacing w:after="80"/>
      </w:pPr>
      <w:r>
        <w:t xml:space="preserve">NUMERATOR and DENOMINATOR — the mathematical construction of the metric. Distribution metrics (P50, P90) are noted in these fields.</w:t>
      </w:r>
    </w:p>
    <w:p>
      <w:pPr>
        <w:pStyle w:val="ListParagraph"/>
        <w:numPr>
          <w:ilvl w:val="0"/>
          <w:numId w:val="2"/>
        </w:numPr>
        <w:spacing w:after="80"/>
      </w:pPr>
      <w:r>
        <w:t xml:space="preserve">PERIOD — the time window the metric covers and the cadence at which it updates.</w:t>
      </w:r>
    </w:p>
    <w:p>
      <w:pPr>
        <w:pStyle w:val="ListParagraph"/>
        <w:numPr>
          <w:ilvl w:val="0"/>
          <w:numId w:val="2"/>
        </w:numPr>
        <w:spacing w:after="80"/>
      </w:pPr>
      <w:r>
        <w:t xml:space="preserve">SOURCE — the origin system for the underlying data.</w:t>
      </w:r>
    </w:p>
    <w:p>
      <w:pPr>
        <w:pStyle w:val="ListParagraph"/>
        <w:numPr>
          <w:ilvl w:val="0"/>
          <w:numId w:val="2"/>
        </w:numPr>
        <w:spacing w:after="80"/>
      </w:pPr>
      <w:r>
        <w:t xml:space="preserve">INCLUSION and EXCLUSION — explicit criteria for what cases count and what cases do not.</w:t>
      </w:r>
    </w:p>
    <w:p>
      <w:pPr>
        <w:pStyle w:val="ListParagraph"/>
        <w:numPr>
          <w:ilvl w:val="0"/>
          <w:numId w:val="2"/>
        </w:numPr>
        <w:spacing w:after="80"/>
      </w:pPr>
      <w:r>
        <w:t xml:space="preserve">CONFOUNDERS — known factors that complicate interpretation. Published metric pages link readers to this list.</w:t>
      </w:r>
    </w:p>
    <w:p>
      <w:pPr>
        <w:pStyle w:val="ListParagraph"/>
        <w:numPr>
          <w:ilvl w:val="0"/>
          <w:numId w:val="2"/>
        </w:numPr>
        <w:spacing w:after="80"/>
      </w:pPr>
      <w:r>
        <w:t xml:space="preserve">MIN. SAMPLE — the cell-size minimum below which the metric is suppressed.</w:t>
      </w:r>
    </w:p>
    <w:p>
      <w:pPr>
        <w:pStyle w:val="ListParagraph"/>
        <w:numPr>
          <w:ilvl w:val="0"/>
          <w:numId w:val="2"/>
        </w:numPr>
        <w:spacing w:after="80"/>
      </w:pPr>
      <w:r>
        <w:t xml:space="preserve">PRIVACY — the full privacy posture including tier-specific protections.</w:t>
      </w:r>
    </w:p>
    <w:p>
      <w:pPr>
        <w:pStyle w:val="ListParagraph"/>
        <w:numPr>
          <w:ilvl w:val="0"/>
          <w:numId w:val="2"/>
        </w:numPr>
        <w:spacing w:after="80"/>
      </w:pPr>
      <w:r>
        <w:t xml:space="preserve">REFORM VALUE — why this metric is worth measuring.</w:t>
      </w:r>
    </w:p>
    <w:p>
      <w:pPr>
        <w:pStyle w:val="ListParagraph"/>
        <w:numPr>
          <w:ilvl w:val="0"/>
          <w:numId w:val="2"/>
        </w:numPr>
        <w:spacing w:after="80"/>
      </w:pPr>
      <w:r>
        <w:t xml:space="preserve">REFRESH — publication cadence once a metric is in production.</w:t>
      </w:r>
    </w:p>
    <w:p>
      <w:pPr>
        <w:spacing w:after="40" w:before="240"/>
      </w:pPr>
      <w:r>
        <w:rPr>
          <w:b/>
          <w:bCs/>
          <w:color w:val="B8371F"/>
          <w:spacing w:val="40"/>
          <w:sz w:val="18"/>
          <w:szCs w:val="18"/>
        </w:rPr>
        <w:t xml:space="preserve">READING ORDER</w:t>
      </w:r>
    </w:p>
    <w:p>
      <w:pPr>
        <w:pStyle w:val="Heading1"/>
      </w:pPr>
      <w:r>
        <w:t xml:space="preserve">Role-Based Chapters</w:t>
      </w:r>
    </w:p>
    <w:p>
      <w:pPr>
        <w:spacing w:after="160"/>
      </w:pPr>
      <w:r>
        <w:t xml:space="preserve">The Handbook is organized by role. Each chapter opens with a short paragraph describing why these metrics matter to this role. Metrics within a chapter are ordered from most publishable (Tier A, Visible) to most sensitive (Tier D, Never Disclosed).</w:t>
      </w:r>
    </w:p>
    <w:p>
      <w:pPr>
        <w:spacing w:after="160"/>
      </w:pPr>
      <w:r>
        <w:t xml:space="preserve">The specification is written to be read end-to-end by reviewers and consulted as a reference by implementers. Total reading time, cover to cover, is approximately 90-120 minutes for a focused reader.</w:t>
      </w:r>
    </w:p>
    <w:p>
      <w:r>
        <w:br w:type="page"/>
      </w:r>
    </w:p>
    <w:p>
      <w:pPr>
        <w:spacing w:after="40" w:before="240"/>
      </w:pPr>
      <w:r>
        <w:rPr>
          <w:b/>
          <w:bCs/>
          <w:color w:val="B8371F"/>
          <w:spacing w:val="40"/>
          <w:sz w:val="18"/>
          <w:szCs w:val="18"/>
        </w:rPr>
        <w:t xml:space="preserve">CHAPTER · PARENT (PRO SE)</w:t>
      </w:r>
    </w:p>
    <w:p>
      <w:pPr>
        <w:pStyle w:val="Heading1"/>
      </w:pPr>
      <w:r>
        <w:t xml:space="preserve">Parent (Pro Se)</w:t>
      </w:r>
    </w:p>
    <w:p>
      <w:pPr>
        <w:spacing w:after="160"/>
      </w:pPr>
      <w:r>
        <w:t xml:space="preserve">7 metrics. The entries below are ordered by disclosure tier (A to D) and, within each tier, by current visibility status (visible, hidden, missing).</w:t>
      </w:r>
    </w:p>
    <w:p>
      <w:pPr>
        <w:pStyle w:val="Heading3"/>
      </w:pPr>
      <w:r>
        <w:t xml:space="preserve">Typical Case Timeline (County)</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3D5A2F"/>
          <w:sz w:val="18"/>
          <w:szCs w:val="18"/>
        </w:rPr>
        <w:t xml:space="preserve">VISIBLE</w:t>
      </w:r>
      <w:r>
        <w:rPr>
          <w:b/>
          <w:bCs/>
          <w:color w:val="555046"/>
          <w:spacing w:val="20"/>
          <w:sz w:val="16"/>
          <w:szCs w:val="16"/>
        </w:rPr>
        <w:t xml:space="preserve">     ID </w:t>
      </w:r>
      <w:r>
        <w:rPr>
          <w:b/>
          <w:bCs/>
          <w:color w:val="264F77"/>
          <w:sz w:val="18"/>
          <w:szCs w:val="18"/>
        </w:rPr>
        <w:t xml:space="preserve">p-typical-timeline</w:t>
      </w:r>
    </w:p>
    <w:p>
      <w:pPr>
        <w:spacing w:after="140"/>
      </w:pPr>
      <w:r>
        <w:rPr>
          <w:i w:val="false"/>
          <w:iCs w:val="false"/>
          <w:color w:val="1F2744"/>
          <w:sz w:val="22"/>
          <w:szCs w:val="22"/>
        </w:rPr>
        <w:t xml:space="preserve">Median and P90 days from filing to final judgment for your case type in your jurisdiction.</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Median (P50) and P90 elapsed calendar days from case filing to final judgment or dismissal, stratified by case type (dissolution with children, paternity, modification, custody) and judicial circuit.</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Sum of elapsed days across all qualifying cases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Count of qualifying dispositions in period (median) or distribution percentile (P90)</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12 months, published quarterly</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(Missouri OSCA for pilot)</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Cases with a recorded filing date and a recorded disposition date in the reporting window</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Sealed cases, transferred cases (counted in destination circuit), cases with disposition type "administrative closure" without merits ruling</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Case complexity, party cooperation, attorney availability, pandemic-era backlogs, assignment court differences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Circuit-level publication requires n ≥ 25 dispositions of the case type per reporting period</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Sets realistic expectations for pro se parents. Enables them to plan financially and emotionally. Surfaces disparities between circuits that invite examination.</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pPr>
        <w:pStyle w:val="Heading3"/>
      </w:pPr>
      <w:r>
        <w:t xml:space="preserve">Custody Outcome Distribution</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3D5A2F"/>
          <w:sz w:val="18"/>
          <w:szCs w:val="18"/>
        </w:rPr>
        <w:t xml:space="preserve">VISIBLE</w:t>
      </w:r>
      <w:r>
        <w:rPr>
          <w:b/>
          <w:bCs/>
          <w:color w:val="555046"/>
          <w:spacing w:val="20"/>
          <w:sz w:val="16"/>
          <w:szCs w:val="16"/>
        </w:rPr>
        <w:t xml:space="preserve">     ID </w:t>
      </w:r>
      <w:r>
        <w:rPr>
          <w:b/>
          <w:bCs/>
          <w:color w:val="264F77"/>
          <w:sz w:val="18"/>
          <w:szCs w:val="18"/>
        </w:rPr>
        <w:t xml:space="preserve">p-custody-dist</w:t>
      </w:r>
    </w:p>
    <w:p>
      <w:pPr>
        <w:spacing w:after="140"/>
      </w:pPr>
      <w:r>
        <w:rPr>
          <w:i w:val="false"/>
          <w:iCs w:val="false"/>
          <w:color w:val="1F2744"/>
          <w:sz w:val="22"/>
          <w:szCs w:val="22"/>
        </w:rPr>
        <w:t xml:space="preserve">How often courts in your county award sole vs joint physical and legal custody.</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Proportion of dissolutions and paternity cases with minor children that result in sole vs joint legal custody, and sole vs joint physical custody, at final judgment.</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Count of cases with the specified custody outcome</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cases with a custody determination in the reporting period</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Annual, published once per year</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custody determination codes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Cases with minor children and a final custody order in the reporting year</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Cases where custody was not in dispute, cases transferred to juvenile court, protective-order-only custody matters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Child age distribution, distance between parents' residences, pre-existing parenting plans, prior protective orders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Circuit-level publication requires n ≥ 30 cases per year</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Pro se parents currently rely on anecdote. Publishing actual distributions corrects misperceptions in both directions and supports realistic settlement discussions.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Time-to-Enforcement</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p-enforce-time</w:t>
      </w:r>
    </w:p>
    <w:p>
      <w:pPr>
        <w:spacing w:after="140"/>
      </w:pPr>
      <w:r>
        <w:rPr>
          <w:i w:val="false"/>
          <w:iCs w:val="false"/>
          <w:color w:val="1F2744"/>
          <w:sz w:val="22"/>
          <w:szCs w:val="22"/>
        </w:rPr>
        <w:t xml:space="preserve">From violation filed to enforcement action. Defensibly publishable at aggregate level.</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Elapsed calendar days from the filing of an enforcement motion (typically contempt or motion to enforce parenting time) to the first substantive enforcement action by the court.</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Sum of elapsed days across qualifying motions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Count of qualifying enforcement motions with action taken</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12 months, published quarterly</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motion filing and action timestamps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Enforcement motions filed during the reporting window that received any court action (hearing scheduled, order entered, dismissal with reasons)</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Motions withdrawn before action, motions mooted by voluntary compliance, motions in cases under emergency stay</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Backlog, motion complexity, service-of-process delays, consolidation with other pending matters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Circuit-level requires n ≥ 20 enforcement motions per year</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Enforcement delay is the gap where parenting plans silently fail. Measuring it is the first step to closing it.</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pPr>
        <w:pStyle w:val="Heading3"/>
      </w:pPr>
      <w:r>
        <w:t xml:space="preserve">Motion Grant Rates (County)</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p-motion-grant</w:t>
      </w:r>
    </w:p>
    <w:p>
      <w:pPr>
        <w:spacing w:after="140"/>
      </w:pPr>
      <w:r>
        <w:rPr>
          <w:i w:val="false"/>
          <w:iCs w:val="false"/>
          <w:color w:val="1F2744"/>
          <w:sz w:val="22"/>
          <w:szCs w:val="22"/>
        </w:rPr>
        <w:t xml:space="preserve">How often emergency, contempt, and modification motions are granted — aggregated, anonymized.</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Proportion of filed motions of each type (emergency, contempt, modification, relocation) that result in a grant ruling, stratified by circuit.</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Motions granted in full or in part during the reporting period</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motions of that type resolved (granted, denied, or dismissed) in the reporting period</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12 months, published quarterly</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motion disposition codes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All motions of the specified type with a recorded disposition</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Motions withdrawn by the moving party before ruling, motions mooted by settlement</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Motion quality, self-represented vs attorney-filed, underlying case merit, local procedural rules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Circuit-level requires n ≥ 30 motions of the type per year</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De-identified. Access gated by DUA with IRB approval required. Re-identification attempts prohibited with permanent revocation as penalty. Audit log of every query.</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Lets parents calibrate expectations before filing. Reduces speculative motions that burden the docket. Surfaces unusual patterns inviting administrative review.</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pPr>
        <w:pStyle w:val="Heading3"/>
      </w:pPr>
      <w:r>
        <w:t xml:space="preserve">Represented vs Pro Se Outcomes</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p-represent-disparity</w:t>
      </w:r>
    </w:p>
    <w:p>
      <w:pPr>
        <w:spacing w:after="140"/>
      </w:pPr>
      <w:r>
        <w:rPr>
          <w:i w:val="false"/>
          <w:iCs w:val="false"/>
          <w:color w:val="1F2744"/>
          <w:sz w:val="22"/>
          <w:szCs w:val="22"/>
        </w:rPr>
        <w:t xml:space="preserve">Outcome differentials by representation status, controlled for case complexity.</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Difference in key outcomes (custody distribution, child support guideline adherence, motion grant rates) between cases where one or both parties are represented and cases where neither is, controlling for case complexity via matched-case analysis.</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Outcome variable means for each representation class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Count of cases in each class</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Annual analysis with 12-month lag for appellate settlement</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party representation records, case outcome data</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Dissolution, paternity, modification, and contested custody cases with final disposition in the reporting year</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Uncontested matters, default judgments, cases with representation changes mid-proceeding</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Self-selection into representation (cases with attorneys may be more complex), socioeconomic status, case type mix, judicial assignment</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Publication requires n ≥ 100 in each representation class per circuit per year</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De-identified. Access gated by DUA with IRB approval required. Re-identification attempts prohibited with permanent revocation as penalty. Audit log of every query.</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Foundational disparity metric. Informs debate about court-appointed representation in family matters and pro se accessibility reforms.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Parenting Time Compliance Rate</w:t>
      </w:r>
    </w:p>
    <w:p>
      <w:pPr>
        <w:spacing w:after="80"/>
      </w:pPr>
      <w:r>
        <w:rPr>
          <w:b/>
          <w:bCs/>
          <w:color w:val="555046"/>
          <w:spacing w:val="20"/>
          <w:sz w:val="16"/>
          <w:szCs w:val="16"/>
        </w:rPr>
        <w:t xml:space="preserve">TIER </w:t>
      </w:r>
      <w:r>
        <w:rPr>
          <w:b/>
          <w:bCs/>
          <w:color w:val="0D1220"/>
          <w:sz w:val="18"/>
          <w:szCs w:val="18"/>
        </w:rPr>
        <w:t xml:space="preserve">C · User-Owned</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p-pt-compliance</w:t>
      </w:r>
    </w:p>
    <w:p>
      <w:pPr>
        <w:spacing w:after="140"/>
      </w:pPr>
      <w:r>
        <w:rPr>
          <w:i w:val="false"/>
          <w:iCs w:val="false"/>
          <w:color w:val="1F2744"/>
          <w:sz w:val="22"/>
          <w:szCs w:val="22"/>
        </w:rPr>
        <w:t xml:space="preserve">Percentage of court-ordered parenting time actually exercised. Requires user-logged data.</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Ratio of actual parenting time hours exercised to the parenting time hours scheduled under the current court order, measured per calendar month per parent.</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Hours of parenting time exercised (logged exchanges plus documented custody periods)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Hours of parenting time scheduled under active custody order</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Monthly, rolling 3-month average for stability</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User-logged exchange data from CoTrackPro or equivalent platform, cross-referenced with court order of record</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Active cases with a final parenting plan in force for at least 90 days, both parents participating in logging</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Cases under emergency modification, cases with active no-contact provisions, cases with documented mutual deviation agreements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Work schedule changes, child illness, mutual voluntary deviations, holidays, child preferences as they mature, travel</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No publication for cells with n &lt; 10 cases. Differential privacy noise applied to cells with n &lt; 30</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Raw data stays in the user account. Only aggregates leave the user environment and only after explicit opt-in. User can withdraw at any time.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Currently invisible. Publication surfaces enforcement gaps and reveals whether court orders match lived reality. Foundational for any reform of enforcement systems.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 aggregate, monthly user-facing</w:t>
      </w:r>
    </w:p>
    <w:p>
      <w:pPr>
        <w:pBdr>
          <w:bottom w:val="single" w:color="CCCCCC" w:sz="4" w:space="1"/>
        </w:pBdr>
        <w:spacing w:after="160" w:before="100"/>
      </w:pPr>
      <w:r>
        <w:t xml:space="preserve"/>
      </w:r>
    </w:p>
    <w:p>
      <w:pPr>
        <w:pStyle w:val="Heading3"/>
      </w:pPr>
      <w:r>
        <w:t xml:space="preserve">Child Contact Gap</w:t>
      </w:r>
    </w:p>
    <w:p>
      <w:pPr>
        <w:spacing w:after="80"/>
      </w:pPr>
      <w:r>
        <w:rPr>
          <w:b/>
          <w:bCs/>
          <w:color w:val="555046"/>
          <w:spacing w:val="20"/>
          <w:sz w:val="16"/>
          <w:szCs w:val="16"/>
        </w:rPr>
        <w:t xml:space="preserve">TIER </w:t>
      </w:r>
      <w:r>
        <w:rPr>
          <w:b/>
          <w:bCs/>
          <w:color w:val="0D1220"/>
          <w:sz w:val="18"/>
          <w:szCs w:val="18"/>
        </w:rPr>
        <w:t xml:space="preserve">C · User-Owned</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p-contact-gap</w:t>
      </w:r>
    </w:p>
    <w:p>
      <w:pPr>
        <w:spacing w:after="140"/>
      </w:pPr>
      <w:r>
        <w:rPr>
          <w:i w:val="false"/>
          <w:iCs w:val="false"/>
          <w:color w:val="1F2744"/>
          <w:sz w:val="22"/>
          <w:szCs w:val="22"/>
        </w:rPr>
        <w:t xml:space="preserve">Consecutive days a child goes without contact with either parent, by case type.</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Longest consecutive period in days during which a child has no contact (in-person, phone, or video) with either parent, measured rolling over the prior 90 days.</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Maximum gap in days between documented contact events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Not a rate — a distribution metric reported as P50 and P90</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90-day window, published quarterly</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User-logged contact events, exchange logs, documented calls and video sessions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Active cases with minor children, court order in force, both parents with some form of ordered contact</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Cases where contact is legally suspended, child has aged out (18+), documented periods of medical isolation</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Travel, illness, mutual family decisions, child autonomous choices as they age, incarceration</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n ≥ 10 per reporting cell required for publication</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Raw data stays in the user account. Only aggregates leave the user environment and only after explicit opt-in. User can withdraw at any time.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Captures human harm of enforcement failures invisible to case-flow metrics. Emotionally resonant without being sensationalized.</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CHAPTER · FAMILY LAW ATTORNEY</w:t>
      </w:r>
    </w:p>
    <w:p>
      <w:pPr>
        <w:pStyle w:val="Heading1"/>
      </w:pPr>
      <w:r>
        <w:t xml:space="preserve">Family Law Attorney</w:t>
      </w:r>
    </w:p>
    <w:p>
      <w:pPr>
        <w:spacing w:after="160"/>
      </w:pPr>
      <w:r>
        <w:t xml:space="preserve">6 metrics. The entries below are ordered by disclosure tier (A to D) and, within each tier, by current visibility status (visible, hidden, missing).</w:t>
      </w:r>
    </w:p>
    <w:p>
      <w:pPr>
        <w:pStyle w:val="Heading3"/>
      </w:pPr>
      <w:r>
        <w:t xml:space="preserve">Continuance Frequency</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3D5A2F"/>
          <w:sz w:val="18"/>
          <w:szCs w:val="18"/>
        </w:rPr>
        <w:t xml:space="preserve">VISIBLE</w:t>
      </w:r>
      <w:r>
        <w:rPr>
          <w:b/>
          <w:bCs/>
          <w:color w:val="555046"/>
          <w:spacing w:val="20"/>
          <w:sz w:val="16"/>
          <w:szCs w:val="16"/>
        </w:rPr>
        <w:t xml:space="preserve">     ID </w:t>
      </w:r>
      <w:r>
        <w:rPr>
          <w:b/>
          <w:bCs/>
          <w:color w:val="264F77"/>
          <w:sz w:val="18"/>
          <w:szCs w:val="18"/>
        </w:rPr>
        <w:t xml:space="preserve">a-continuance</w:t>
      </w:r>
    </w:p>
    <w:p>
      <w:pPr>
        <w:spacing w:after="140"/>
      </w:pPr>
      <w:r>
        <w:rPr>
          <w:i w:val="false"/>
          <w:iCs w:val="false"/>
          <w:color w:val="1F2744"/>
          <w:sz w:val="22"/>
          <w:szCs w:val="22"/>
        </w:rPr>
        <w:t xml:space="preserve">Average continuances per case type per jurisdiction.</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Mean and median number of continuances granted per case from filing to disposition, stratified by case type and circuit.</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Total continuances granted across cases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cases in the reporting period</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12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continuance records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Cases with at least one scheduled hearing in the window</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Administrative continuances (court schedule changes), cases with no hearings scheduled</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Court calendar pressure, judicial leave, weather events, attorney scheduling conflicts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Circuit-level requires n ≥ 50 cases per year</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Operational metric revealing docket friction. Trend analysis informs resource allocation.</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pPr>
        <w:pStyle w:val="Heading3"/>
      </w:pPr>
      <w:r>
        <w:t xml:space="preserve">Settlement vs Trial Distribution</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3D5A2F"/>
          <w:sz w:val="18"/>
          <w:szCs w:val="18"/>
        </w:rPr>
        <w:t xml:space="preserve">VISIBLE</w:t>
      </w:r>
      <w:r>
        <w:rPr>
          <w:b/>
          <w:bCs/>
          <w:color w:val="555046"/>
          <w:spacing w:val="20"/>
          <w:sz w:val="16"/>
          <w:szCs w:val="16"/>
        </w:rPr>
        <w:t xml:space="preserve">     ID </w:t>
      </w:r>
      <w:r>
        <w:rPr>
          <w:b/>
          <w:bCs/>
          <w:color w:val="264F77"/>
          <w:sz w:val="18"/>
          <w:szCs w:val="18"/>
        </w:rPr>
        <w:t xml:space="preserve">a-settle-trial</w:t>
      </w:r>
    </w:p>
    <w:p>
      <w:pPr>
        <w:spacing w:after="140"/>
      </w:pPr>
      <w:r>
        <w:rPr>
          <w:i w:val="false"/>
          <w:iCs w:val="false"/>
          <w:color w:val="1F2744"/>
          <w:sz w:val="22"/>
          <w:szCs w:val="22"/>
        </w:rPr>
        <w:t xml:space="preserve">Proportion of cases settled vs litigated, by case type.</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Proportion of filed family court cases that reach final resolution through settlement (with or without mediation) versus contested trial, by case type and circuit.</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Cases in each resolution class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resolved cases in the period</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Annual</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disposition type codes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Cases with final disposition in the reporting year</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Cases transferred before disposition, administrative dismissals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Local practice norms, mediation program availability, case complexity mix</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Circuit-level requires n ≥ 50 cases per year</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Baseline operational metric. Informs mediation investment and settlement program design.</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Appeal Reversal Rate</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a-reversal</w:t>
      </w:r>
    </w:p>
    <w:p>
      <w:pPr>
        <w:spacing w:after="140"/>
      </w:pPr>
      <w:r>
        <w:rPr>
          <w:i w:val="false"/>
          <w:iCs w:val="false"/>
          <w:color w:val="1F2744"/>
          <w:sz w:val="22"/>
          <w:szCs w:val="22"/>
        </w:rPr>
        <w:t xml:space="preserve">Proportion of family court rulings reversed on appeal, by issue type.</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Proportion of appellate dispositions of family court rulings that reverse, modify, or remand the lower court decision, stratified by issue type (custody, support, property division, contempt).</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Appellate dispositions with reversal, modification, or remand outcomes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appellate dispositions of family court rulings</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24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Appellate court case management systems, cross-referenced with lower court case identifiers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Appeals of family court rulings with final appellate disposition</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Appeals dismissed on procedural grounds, appeals withdrawn before ruling</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Selection bias (only appealed cases appear), appellate panel assignment</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Statewide requires n ≥ 30 appellate dispositions per issue type per period</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Identifies issue types where lower court rulings systematically diverge from appellate standards.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Motion Success Rate by Type</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a-motion-success</w:t>
      </w:r>
    </w:p>
    <w:p>
      <w:pPr>
        <w:spacing w:after="140"/>
      </w:pPr>
      <w:r>
        <w:rPr>
          <w:i w:val="false"/>
          <w:iCs w:val="false"/>
          <w:color w:val="1F2744"/>
          <w:sz w:val="22"/>
          <w:szCs w:val="22"/>
        </w:rPr>
        <w:t xml:space="preserve">Grant rates for each motion type in the jurisdiction, across all attorneys.</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Jurisdiction-wide grant rate for each motion type, providing baseline context for attorneys evaluating their own performance.</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Motions granted in full or in part</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motions resolved of that type</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12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motion disposition codes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All motions of the specified type with recorded disposition</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Withdrawn motions, mooted motions, emergency ex parte only (counted separately)</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Local rules, judicial assignment, underlying case merit distribution</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Jurisdiction-level requires n ≥ 30 motions of type per year</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De-identified. Access gated by DUA with IRB approval required. Re-identification attempts prohibited with permanent revocation as penalty. Audit log of every query.</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Informs strategy and client counseling. Reduces low-merit motions filed without context.</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pPr>
        <w:pStyle w:val="Heading3"/>
      </w:pPr>
      <w:r>
        <w:t xml:space="preserve">GAL Recommendation Alignment</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a-gal-align</w:t>
      </w:r>
    </w:p>
    <w:p>
      <w:pPr>
        <w:spacing w:after="140"/>
      </w:pPr>
      <w:r>
        <w:rPr>
          <w:i w:val="false"/>
          <w:iCs w:val="false"/>
          <w:color w:val="1F2744"/>
          <w:sz w:val="22"/>
          <w:szCs w:val="22"/>
        </w:rPr>
        <w:t xml:space="preserve">How often final rulings match GAL recommendations in your jurisdiction.</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Proportion of cases with a GAL appointment where the final ruling substantially matches the GAL's written recommendation, aggregated by circuit.</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Cases with substantial ruling-to-recommendation alignment</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Cases with a GAL recommendation and a final ruling</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24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GAL reports, final judgments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Cases with formal GAL appointment, written recommendation filed, final judgment entered</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Cases settled before GAL recommendation, cases with multiple sequential GAL appointments (counted once)</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Settlement patterns (cases closest to GAL recommendation may settle; rulings are on hardest cases), GAL scope of appointment differences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Circuit-level requires n ≥ 20 GAL-recommended cases per period</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De-identified. Access gated by DUA with IRB approval required. Re-identification attempts prohibited with permanent revocation as penalty. Audit log of every query.</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Calibrates attorney expectations about GAL influence. Detects unusual patterns warranting administrative review.</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Peer Case Duration Benchmark</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a-peer-duration</w:t>
      </w:r>
    </w:p>
    <w:p>
      <w:pPr>
        <w:spacing w:after="140"/>
      </w:pPr>
      <w:r>
        <w:rPr>
          <w:i w:val="false"/>
          <w:iCs w:val="false"/>
          <w:color w:val="1F2744"/>
          <w:sz w:val="22"/>
          <w:szCs w:val="22"/>
        </w:rPr>
        <w:t xml:space="preserve">Anonymized case duration distribution for similar matter types, controlling for complexity.</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Distribution of case duration in days across matched attorneys for each matter type, with controls for case complexity factors (number of issues contested, contested custody, business valuation, protective order presence).</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Elapsed days per attorney-case pairing</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Count of attorney-case pairings in the complexity cohort</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24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with attorney-of-record linkage, case characteristic coding</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Attorneys with at least 15 dispositions in the window and matter type, cases with full characteristic coding</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Pro se cases, limited-scope representations, cases with representation changes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Client cooperation, opposing counsel tactics, case law evolution, local rule differences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Benchmark returned only to attorneys with n ≥ 15 cases in the window</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De-identified. Access gated by DUA with IRB approval required. Re-identification attempts prohibited with permanent revocation as penalty. Audit log of every query. Attorneys see only their own percentile, never others' individual data.</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Professional self-calibration tool. Reduces unnecessary litigation and improves client service without exposing individual attorneys to public comparison.</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 update, rolling window</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CHAPTER · JUDGE</w:t>
      </w:r>
    </w:p>
    <w:p>
      <w:pPr>
        <w:pStyle w:val="Heading1"/>
      </w:pPr>
      <w:r>
        <w:t xml:space="preserve">Judge</w:t>
      </w:r>
    </w:p>
    <w:p>
      <w:pPr>
        <w:spacing w:after="160"/>
      </w:pPr>
      <w:r>
        <w:t xml:space="preserve">6 metrics. The entries below are ordered by disclosure tier (A to D) and, within each tier, by current visibility status (visible, hidden, missing).</w:t>
      </w:r>
    </w:p>
    <w:p>
      <w:pPr>
        <w:pStyle w:val="Heading3"/>
      </w:pPr>
      <w:r>
        <w:t xml:space="preserve">Disposition Backlog</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3D5A2F"/>
          <w:sz w:val="18"/>
          <w:szCs w:val="18"/>
        </w:rPr>
        <w:t xml:space="preserve">VISIBLE</w:t>
      </w:r>
      <w:r>
        <w:rPr>
          <w:b/>
          <w:bCs/>
          <w:color w:val="555046"/>
          <w:spacing w:val="20"/>
          <w:sz w:val="16"/>
          <w:szCs w:val="16"/>
        </w:rPr>
        <w:t xml:space="preserve">     ID </w:t>
      </w:r>
      <w:r>
        <w:rPr>
          <w:b/>
          <w:bCs/>
          <w:color w:val="264F77"/>
          <w:sz w:val="18"/>
          <w:szCs w:val="18"/>
        </w:rPr>
        <w:t xml:space="preserve">j-backlog</w:t>
      </w:r>
    </w:p>
    <w:p>
      <w:pPr>
        <w:spacing w:after="140"/>
      </w:pPr>
      <w:r>
        <w:rPr>
          <w:i w:val="false"/>
          <w:iCs w:val="false"/>
          <w:color w:val="1F2744"/>
          <w:sz w:val="22"/>
          <w:szCs w:val="22"/>
        </w:rPr>
        <w:t xml:space="preserve">Open matters on your docket beyond court-set disposition targets.</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Count and proportion of cases open beyond court-set age-of-case disposition targets (e.g., 12-month standard for dissolutions), by judge and aggregated to circuit.</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Open cases older than disposition target</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open cases on docket</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Snapshot at quarter end</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case age calculations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Cases assigned to the judge at the snapshot date</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Cases under emergency stay, cases awaiting appellate remand</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Docket size, case-type mix, recent assignment changes, judicial leave</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Publicly published only at circuit level; individual judge data internal</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Circuit-aggregate public (Tier A). Individual-judge internal (Tier B).</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Operational management tool. Transparency at circuit level supports resource-allocation discussions.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pPr>
        <w:pStyle w:val="Heading3"/>
      </w:pPr>
      <w:r>
        <w:t xml:space="preserve">Personal Docket Pace</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3D5A2F"/>
          <w:sz w:val="18"/>
          <w:szCs w:val="18"/>
        </w:rPr>
        <w:t xml:space="preserve">VISIBLE</w:t>
      </w:r>
      <w:r>
        <w:rPr>
          <w:b/>
          <w:bCs/>
          <w:color w:val="555046"/>
          <w:spacing w:val="20"/>
          <w:sz w:val="16"/>
          <w:szCs w:val="16"/>
        </w:rPr>
        <w:t xml:space="preserve">     ID </w:t>
      </w:r>
      <w:r>
        <w:rPr>
          <w:b/>
          <w:bCs/>
          <w:color w:val="264F77"/>
          <w:sz w:val="18"/>
          <w:szCs w:val="18"/>
        </w:rPr>
        <w:t xml:space="preserve">j-docket-pace</w:t>
      </w:r>
    </w:p>
    <w:p>
      <w:pPr>
        <w:spacing w:after="140"/>
      </w:pPr>
      <w:r>
        <w:rPr>
          <w:i w:val="false"/>
          <w:iCs w:val="false"/>
          <w:color w:val="1F2744"/>
          <w:sz w:val="22"/>
          <w:szCs w:val="22"/>
        </w:rPr>
        <w:t xml:space="preserve">Your time-to-disposition vs bench peers, controlled for case mix. Private to you.</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Individual judge's median and P90 time-to-disposition compared to a peer benchmark of same-bench judges, controlling for case type and complexity mix.</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Judge's elapsed-day values across qualifying cases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Case count in the judge's docket for the period</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12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with judge-of-record assignment</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Cases assigned to the judge for at least 80% of their active life, final disposition in window</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Cases transferred in or out mid-proceeding, cases under emergency stay</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Case complexity differences not fully captured by coding, docket size variance, judicial leave</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Individual benchmark requires n ≥ 50 dispositions in the window</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Tier B private. Returned only to the individual judge and the presiding judge of the circuit. Never aggregated with judge identifiers for public release.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Supports judicial self-improvement without exposing individual judges to comparison pressure from outside the bench.</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pPr>
        <w:pStyle w:val="Heading3"/>
      </w:pPr>
      <w:r>
        <w:t xml:space="preserve">Reversal Rate</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j-reversal</w:t>
      </w:r>
    </w:p>
    <w:p>
      <w:pPr>
        <w:spacing w:after="140"/>
      </w:pPr>
      <w:r>
        <w:rPr>
          <w:i w:val="false"/>
          <w:iCs w:val="false"/>
          <w:color w:val="1F2744"/>
          <w:sz w:val="22"/>
          <w:szCs w:val="22"/>
        </w:rPr>
        <w:t xml:space="preserve">Your appellate reversal rate by issue type, benchmarked against circuit average.</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Individual judge's appellate reversal rate by issue type, with circuit and state peer benchmarks.</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Judge's rulings reversed, modified, or remanded on appeal</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Judge's rulings that were appealed and received appellate disposition</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36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Appellate court records cross-referenced with lower court judge assignments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Appealed rulings with final appellate disposition</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Procedural dismissals, withdrawn appeals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Selection bias, appellate panel variance, case complexity in appealed subset</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Individual score requires n ≥ 20 appealed rulings</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Tier B private. Shared with judge, presiding judge, and judicial education programs only.</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Supports targeted continuing judicial education. Identifies areas where bench-wide training may improve consistency.</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Guideline Deviation Rate</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j-deviation</w:t>
      </w:r>
    </w:p>
    <w:p>
      <w:pPr>
        <w:spacing w:after="140"/>
      </w:pPr>
      <w:r>
        <w:rPr>
          <w:i w:val="false"/>
          <w:iCs w:val="false"/>
          <w:color w:val="1F2744"/>
          <w:sz w:val="22"/>
          <w:szCs w:val="22"/>
        </w:rPr>
        <w:t xml:space="preserve">Your child support deviation rate and direction, relative to state median.</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Proportion of child support orders entered by the judge that deviate from presumed guideline amounts, and the direction and magnitude of deviation.</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Support orders with documented deviation</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support orders entered</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12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Child support order records with deviation findings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Final support orders with recorded guideline calculation</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Temporary orders, stipulated orders entered without hearing</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Case demographics, cost-of-living variance within circuit, specific deviation factors (medical, childcare, travel)</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Individual rate requires n ≥ 30 support orders entered</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Tier B private. Benchmark returned to judge and presiding judge.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Supports consistency in child support application. Identifies potential need for guideline revision if systematic deviation patterns emerge statewide.</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Decision Consistency Score</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j-consistency</w:t>
      </w:r>
    </w:p>
    <w:p>
      <w:pPr>
        <w:spacing w:after="140"/>
      </w:pPr>
      <w:r>
        <w:rPr>
          <w:i w:val="false"/>
          <w:iCs w:val="false"/>
          <w:color w:val="1F2744"/>
          <w:sz w:val="22"/>
          <w:szCs w:val="22"/>
        </w:rPr>
        <w:t xml:space="preserve">Variance in your rulings on similar fact patterns over time. Private self-assessment tool.</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Within-judge variance in rulings on cases with substantially similar fact patterns, measured over a rolling 24-month window using matched case analysis.</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Standard deviation of rulings on matched case pairs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Number of matched case pairs</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24 months with 12-month appellate-settlement lag</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de-identified case abstracts, matched using propensity score or exact matching</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Judges with at least 50 family court dispositions in the window</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Bench trials with sealed findings, cases transferred mid-proceeding</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Case complexity differences not captured in match, evolving case law, statutory changes within window</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Score calculated only for judges with n ≥ 50 dispositions</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Tier B — private to the individual judge only. Never aggregated publicly with judge identifiers. No external disclosure.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Professional self-improvement tool. Detects drift. Never used for ranking or discipline.</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Courtroom Time Allocation</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j-courtroom-time</w:t>
      </w:r>
    </w:p>
    <w:p>
      <w:pPr>
        <w:spacing w:after="140"/>
      </w:pPr>
      <w:r>
        <w:rPr>
          <w:i w:val="false"/>
          <w:iCs w:val="false"/>
          <w:color w:val="1F2744"/>
          <w:sz w:val="22"/>
          <w:szCs w:val="22"/>
        </w:rPr>
        <w:t xml:space="preserve">Time granted per case by party and issue. Detects imbalance.</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Distribution of courtroom time allocated to each party and to each issue during hearings and trials, measured by party and by issue category.</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Minutes of speaking time per party/issue</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minutes in the proceeding</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12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recordings with time-coded transcripts (requires transcription infrastructure)</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Hearings and trials with full transcription available</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Ex parte proceedings, in-chambers conferences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Issue complexity differences, counsel preparation, court timekeeping accuracy</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Individual judge analysis requires n ≥ 30 proceedings</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Tier B private. Individual judge and presiding judge only.</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Detects systematic imbalance without requiring subjective assessment. Supports fair-hearing integrity.</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CHAPTER · COURT ADMINISTRATOR</w:t>
      </w:r>
    </w:p>
    <w:p>
      <w:pPr>
        <w:pStyle w:val="Heading1"/>
      </w:pPr>
      <w:r>
        <w:t xml:space="preserve">Court Administrator</w:t>
      </w:r>
    </w:p>
    <w:p>
      <w:pPr>
        <w:spacing w:after="160"/>
      </w:pPr>
      <w:r>
        <w:t xml:space="preserve">6 metrics. The entries below are ordered by disclosure tier (A to D) and, within each tier, by current visibility status (visible, hidden, missing).</w:t>
      </w:r>
    </w:p>
    <w:p>
      <w:pPr>
        <w:pStyle w:val="Heading3"/>
      </w:pPr>
      <w:r>
        <w:t xml:space="preserve">Docket-Level Backlog</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3D5A2F"/>
          <w:sz w:val="18"/>
          <w:szCs w:val="18"/>
        </w:rPr>
        <w:t xml:space="preserve">VISIBLE</w:t>
      </w:r>
      <w:r>
        <w:rPr>
          <w:b/>
          <w:bCs/>
          <w:color w:val="555046"/>
          <w:spacing w:val="20"/>
          <w:sz w:val="16"/>
          <w:szCs w:val="16"/>
        </w:rPr>
        <w:t xml:space="preserve">     ID </w:t>
      </w:r>
      <w:r>
        <w:rPr>
          <w:b/>
          <w:bCs/>
          <w:color w:val="264F77"/>
          <w:sz w:val="18"/>
          <w:szCs w:val="18"/>
        </w:rPr>
        <w:t xml:space="preserve">ca-backlog</w:t>
      </w:r>
    </w:p>
    <w:p>
      <w:pPr>
        <w:spacing w:after="140"/>
      </w:pPr>
      <w:r>
        <w:rPr>
          <w:i w:val="false"/>
          <w:iCs w:val="false"/>
          <w:color w:val="1F2744"/>
          <w:sz w:val="22"/>
          <w:szCs w:val="22"/>
        </w:rPr>
        <w:t xml:space="preserve">Open cases past disposition targets, by division and case type.</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Circuit-level count and proportion of open cases past age-of-case targets, stratified by case type and division.</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Open cases older than target age</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open cases in division</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Quarterly snapshot</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All open cases at snapshot date</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Cases under appellate stay or formal abatement</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Filing surges, judicial vacancies, holiday schedules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Publishable at any circuit with n ≥ 20 cases in division</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Standard operational metric. Supports resource-allocation decisions at circuit and state level.</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pPr>
        <w:pStyle w:val="Heading3"/>
      </w:pPr>
      <w:r>
        <w:t xml:space="preserve">Clearance Rate</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3D5A2F"/>
          <w:sz w:val="18"/>
          <w:szCs w:val="18"/>
        </w:rPr>
        <w:t xml:space="preserve">VISIBLE</w:t>
      </w:r>
      <w:r>
        <w:rPr>
          <w:b/>
          <w:bCs/>
          <w:color w:val="555046"/>
          <w:spacing w:val="20"/>
          <w:sz w:val="16"/>
          <w:szCs w:val="16"/>
        </w:rPr>
        <w:t xml:space="preserve">     ID </w:t>
      </w:r>
      <w:r>
        <w:rPr>
          <w:b/>
          <w:bCs/>
          <w:color w:val="264F77"/>
          <w:sz w:val="18"/>
          <w:szCs w:val="18"/>
        </w:rPr>
        <w:t xml:space="preserve">ca-clearance</w:t>
      </w:r>
    </w:p>
    <w:p>
      <w:pPr>
        <w:spacing w:after="140"/>
      </w:pPr>
      <w:r>
        <w:rPr>
          <w:i w:val="false"/>
          <w:iCs w:val="false"/>
          <w:color w:val="1F2744"/>
          <w:sz w:val="22"/>
          <w:szCs w:val="22"/>
        </w:rPr>
        <w:t xml:space="preserve">Cases resolved divided by cases filed, rolling quarterly.</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Ratio of cases resolved to cases filed in the period, by case type and circuit. A value of 1.0 means the circuit is keeping pace with filings; below 1.0 indicates growing backlog.</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Cases resolved in period</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Cases filed in period</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quarterly</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All filings and dispositions in the period</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Administrative reclassifications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Seasonal filing patterns, case-type mix changes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Circuit-level with n ≥ 20 per case type</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The canonical workload metric for court administration.</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pPr>
        <w:pStyle w:val="Heading3"/>
      </w:pPr>
      <w:r>
        <w:t xml:space="preserve">Mediation Diversion Rate</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3D5A2F"/>
          <w:sz w:val="18"/>
          <w:szCs w:val="18"/>
        </w:rPr>
        <w:t xml:space="preserve">VISIBLE</w:t>
      </w:r>
      <w:r>
        <w:rPr>
          <w:b/>
          <w:bCs/>
          <w:color w:val="555046"/>
          <w:spacing w:val="20"/>
          <w:sz w:val="16"/>
          <w:szCs w:val="16"/>
        </w:rPr>
        <w:t xml:space="preserve">     ID </w:t>
      </w:r>
      <w:r>
        <w:rPr>
          <w:b/>
          <w:bCs/>
          <w:color w:val="264F77"/>
          <w:sz w:val="18"/>
          <w:szCs w:val="18"/>
        </w:rPr>
        <w:t xml:space="preserve">ca-mediation</w:t>
      </w:r>
    </w:p>
    <w:p>
      <w:pPr>
        <w:spacing w:after="140"/>
      </w:pPr>
      <w:r>
        <w:rPr>
          <w:i w:val="false"/>
          <w:iCs w:val="false"/>
          <w:color w:val="1F2744"/>
          <w:sz w:val="22"/>
          <w:szCs w:val="22"/>
        </w:rPr>
        <w:t xml:space="preserve">Proportion of cases that reach settlement via court-referred mediation.</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Proportion of cases referred to court-affiliated mediation programs that reach settlement (partial or full) without further litigation.</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Mediation-referred cases reaching settlement</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cases referred to mediation</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Annual</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mediation program records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Cases with a formal referral to court-affiliated mediation program</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Private mediations not court-referred, mediations in cases with subsequent emergency filings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Case complexity, mediator skill variance, client motivation</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Circuit-level requires n ≥ 30 referrals per year</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Quantifies value of mediation programs. Supports budget justification and program expansion decisions.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Emergency Motion Load</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3D5A2F"/>
          <w:sz w:val="18"/>
          <w:szCs w:val="18"/>
        </w:rPr>
        <w:t xml:space="preserve">VISIBLE</w:t>
      </w:r>
      <w:r>
        <w:rPr>
          <w:b/>
          <w:bCs/>
          <w:color w:val="555046"/>
          <w:spacing w:val="20"/>
          <w:sz w:val="16"/>
          <w:szCs w:val="16"/>
        </w:rPr>
        <w:t xml:space="preserve">     ID </w:t>
      </w:r>
      <w:r>
        <w:rPr>
          <w:b/>
          <w:bCs/>
          <w:color w:val="264F77"/>
          <w:sz w:val="18"/>
          <w:szCs w:val="18"/>
        </w:rPr>
        <w:t xml:space="preserve">ca-emergency</w:t>
      </w:r>
    </w:p>
    <w:p>
      <w:pPr>
        <w:spacing w:after="140"/>
      </w:pPr>
      <w:r>
        <w:rPr>
          <w:i w:val="false"/>
          <w:iCs w:val="false"/>
          <w:color w:val="1F2744"/>
          <w:sz w:val="22"/>
          <w:szCs w:val="22"/>
        </w:rPr>
        <w:t xml:space="preserve">Volume and trend of ex parte and emergency filings.</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Count and rate of ex parte and emergency motions filed per 100 active cases, tracked monthly.</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Emergency and ex parte motions filed</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Active cases × 100 / month</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12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motion coding</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Motions coded as emergency or ex parte</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Motions re-coded after initial filing</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Coding practice differences across circuits, pandemic and disaster surge effects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Circuit-level requires monthly case load ≥ 100</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Operational load indicator. Trend spikes invite inquiry into underlying conflict drivers.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Monthly</w:t>
      </w:r>
    </w:p>
    <w:p>
      <w:pPr>
        <w:pBdr>
          <w:bottom w:val="single" w:color="CCCCCC" w:sz="4" w:space="1"/>
        </w:pBdr>
        <w:spacing w:after="160" w:before="100"/>
      </w:pPr>
      <w:r>
        <w:t xml:space="preserve"/>
      </w:r>
    </w:p>
    <w:p>
      <w:pPr>
        <w:pStyle w:val="Heading3"/>
      </w:pPr>
      <w:r>
        <w:t xml:space="preserve">Self-Represented Litigant Share</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ca-pro-se</w:t>
      </w:r>
    </w:p>
    <w:p>
      <w:pPr>
        <w:spacing w:after="140"/>
      </w:pPr>
      <w:r>
        <w:rPr>
          <w:i w:val="false"/>
          <w:iCs w:val="false"/>
          <w:color w:val="1F2744"/>
          <w:sz w:val="22"/>
          <w:szCs w:val="22"/>
        </w:rPr>
        <w:t xml:space="preserve">Proportion of filings with no counsel, by case type. Informs resource planning.</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Proportion of case filings where at least one party is self-represented, stratified by case type, at filing and at final disposition.</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Cases with at least one pro se party</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cases filed</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12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representation records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All family court filings</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Cases where representation status is not recorded</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Representation changes mid-case, limited-scope representations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Circuit-level requires n ≥ 100 cases per type</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Foundational metric for self-help center resource allocation, clerk training, and procedural simplification priorities.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pPr>
        <w:pStyle w:val="Heading3"/>
      </w:pPr>
      <w:r>
        <w:t xml:space="preserve">Re-filing Rate</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ca-refile</w:t>
      </w:r>
    </w:p>
    <w:p>
      <w:pPr>
        <w:spacing w:after="140"/>
      </w:pPr>
      <w:r>
        <w:rPr>
          <w:i w:val="false"/>
          <w:iCs w:val="false"/>
          <w:color w:val="1F2744"/>
          <w:sz w:val="22"/>
          <w:szCs w:val="22"/>
        </w:rPr>
        <w:t xml:space="preserve">Same-parties returning within 12/24/36 months. A reform priority metric.</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Proportion of closed cases where the same parties return to court on a new matter within 12, 24, and 36 months of the prior disposition.</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Closed cases where same parties re-filed within the window</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closed cases in the baseline year</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Annual with lookahead windows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with party-matching algorithm</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Cases with minor children or ongoing child support obligations</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Parties with name changes not detected by matching algorithm</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Party-matching algorithm accuracy, cases transferred to other jurisdictions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Circuit-level requires baseline cohort of n ≥ 100</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Measures the durability of court orders. High re-filing rates indicate rulings that do not resolve the underlying dispute and invite structural review.</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CHAPTER · GAL / CUSTODY EVALUATOR</w:t>
      </w:r>
    </w:p>
    <w:p>
      <w:pPr>
        <w:pStyle w:val="Heading1"/>
      </w:pPr>
      <w:r>
        <w:t xml:space="preserve">GAL / Custody Evaluator</w:t>
      </w:r>
    </w:p>
    <w:p>
      <w:pPr>
        <w:spacing w:after="160"/>
      </w:pPr>
      <w:r>
        <w:t xml:space="preserve">5 metrics. The entries below are ordered by disclosure tier (A to D) and, within each tier, by current visibility status (visible, hidden, missing).</w:t>
      </w:r>
    </w:p>
    <w:p>
      <w:pPr>
        <w:pStyle w:val="Heading3"/>
      </w:pPr>
      <w:r>
        <w:t xml:space="preserve">Caseload Distribution</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g-caseload</w:t>
      </w:r>
    </w:p>
    <w:p>
      <w:pPr>
        <w:spacing w:after="140"/>
      </w:pPr>
      <w:r>
        <w:rPr>
          <w:i w:val="false"/>
          <w:iCs w:val="false"/>
          <w:color w:val="1F2744"/>
          <w:sz w:val="22"/>
          <w:szCs w:val="22"/>
        </w:rPr>
        <w:t xml:space="preserve">Active cases per GAL in your jurisdiction, and concentration among repeat appointees.</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Distribution of active case appointments across individual GALs in a circuit, including Herfindahl-Hirschman-style concentration measure for appointment distribution.</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Active appointments per GAL</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active GAL appointments in circuit</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Quarterly snapshot</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GAL appointment records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Active GAL appointments at snapshot date</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GAL appointments in closed cases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GAL experience and capacity differences, specialty case types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Circuit-level requires n ≥ 10 active GALs</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Tier B with DUA. Circuit-level aggregate public; individual GAL data restricted to administrative review.</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Detects over-concentration of appointments among few GALs, which may indicate informal selection patterns.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pPr>
        <w:pStyle w:val="Heading3"/>
      </w:pPr>
      <w:r>
        <w:t xml:space="preserve">Recommendation-to-Ruling Alignment</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g-alignment</w:t>
      </w:r>
    </w:p>
    <w:p>
      <w:pPr>
        <w:spacing w:after="140"/>
      </w:pPr>
      <w:r>
        <w:rPr>
          <w:i w:val="false"/>
          <w:iCs w:val="false"/>
          <w:color w:val="1F2744"/>
          <w:sz w:val="22"/>
          <w:szCs w:val="22"/>
        </w:rPr>
        <w:t xml:space="preserve">Proportion of final rulings that match GAL recommendations.</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Proportion of cases where the court's final ruling substantially matches the GAL's recommendation, aggregated by circuit.</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Cases with substantial alignment</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Cases with a GAL recommendation and final ruling</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24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GAL reports and final judgments, coded for alignment by trained coders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Cases with written GAL recommendation and final ruling</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Cases settled before recommendation, GAL withdrawals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Settlement patterns, scope of GAL appointment</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Circuit-level requires n ≥ 20</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Tier B. Aggregate-circuit data publishable; individual GAL data restricted.</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Supports understanding of GAL influence on case outcomes and identifies potential training needs.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Repeat Appointment Index</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g-repeat</w:t>
      </w:r>
    </w:p>
    <w:p>
      <w:pPr>
        <w:spacing w:after="140"/>
      </w:pPr>
      <w:r>
        <w:rPr>
          <w:i w:val="false"/>
          <w:iCs w:val="false"/>
          <w:color w:val="1F2744"/>
          <w:sz w:val="22"/>
          <w:szCs w:val="22"/>
        </w:rPr>
        <w:t xml:space="preserve">Concentration of appointments with specific judges — detects informal networks.</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Proportion of a specific GAL's appointments that come from a single judge, aggregated to identify unusual patterns of repeat engagement.</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Appointments from a single judge</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appointments</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24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appointment records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All formal GAL appointments</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Emergency or stand-in appointments of less than 14 days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Specialized case types, geographic accessibility, judge caseload differences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Individual GAL requires n ≥ 15 appointments</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Tier B. Publication at circuit-aggregate only.</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Detects potential informal networks inviting administrative review. Supports fair rotation of appointments.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Time-to-Report</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g-time-report</w:t>
      </w:r>
    </w:p>
    <w:p>
      <w:pPr>
        <w:spacing w:after="140"/>
      </w:pPr>
      <w:r>
        <w:rPr>
          <w:i w:val="false"/>
          <w:iCs w:val="false"/>
          <w:color w:val="1F2744"/>
          <w:sz w:val="22"/>
          <w:szCs w:val="22"/>
        </w:rPr>
        <w:t xml:space="preserve">Days from appointment to filed recommendation, benchmarked.</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Elapsed days from GAL appointment order to the filing of the written recommendation.</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Sum of elapsed days across GAL reports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Count of GAL reports filed</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12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GAL appointment and filing records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GAL appointments with recommendation filed in period</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Appointments withdrawn before report filed, extensions granted for good cause</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Case complexity, child availability for interviews, GAL caseload</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Individual GAL requires n ≥ 10 reports</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Tier B with DUA.</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Measures investigative thoroughness and timeliness. Benchmarks support professional development.</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pPr>
        <w:pStyle w:val="Heading3"/>
      </w:pPr>
      <w:r>
        <w:t xml:space="preserve">Child Contact Frequency</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g-child-contact</w:t>
      </w:r>
    </w:p>
    <w:p>
      <w:pPr>
        <w:spacing w:after="140"/>
      </w:pPr>
      <w:r>
        <w:rPr>
          <w:i w:val="false"/>
          <w:iCs w:val="false"/>
          <w:color w:val="1F2744"/>
          <w:sz w:val="22"/>
          <w:szCs w:val="22"/>
        </w:rPr>
        <w:t xml:space="preserve">Average number of child interviews per case. Measures investigative depth.</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Mean number of documented in-person or video interviews with the subject child(ren) during the GAL's appointment.</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Total documented child interviews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GAL cases</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12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GAL report documentation</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GAL cases with final recommendation filed</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Cases with infants or children too young for interview</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Child age, child availability, case urgency, travel distance</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Individual GAL requires n ≥ 10 cases</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Tier B with DUA.</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Signals investigative engagement with the child, the party most affected.</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CHAPTER · LEGISLATOR</w:t>
      </w:r>
    </w:p>
    <w:p>
      <w:pPr>
        <w:pStyle w:val="Heading1"/>
      </w:pPr>
      <w:r>
        <w:t xml:space="preserve">Legislator</w:t>
      </w:r>
    </w:p>
    <w:p>
      <w:pPr>
        <w:spacing w:after="160"/>
      </w:pPr>
      <w:r>
        <w:t xml:space="preserve">6 metrics. The entries below are ordered by disclosure tier (A to D) and, within each tier, by current visibility status (visible, hidden, missing).</w:t>
      </w:r>
    </w:p>
    <w:p>
      <w:pPr>
        <w:pStyle w:val="Heading3"/>
      </w:pPr>
      <w:r>
        <w:t xml:space="preserve">Statewide Case Volume Trend</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3D5A2F"/>
          <w:sz w:val="18"/>
          <w:szCs w:val="18"/>
        </w:rPr>
        <w:t xml:space="preserve">VISIBLE</w:t>
      </w:r>
      <w:r>
        <w:rPr>
          <w:b/>
          <w:bCs/>
          <w:color w:val="555046"/>
          <w:spacing w:val="20"/>
          <w:sz w:val="16"/>
          <w:szCs w:val="16"/>
        </w:rPr>
        <w:t xml:space="preserve">     ID </w:t>
      </w:r>
      <w:r>
        <w:rPr>
          <w:b/>
          <w:bCs/>
          <w:color w:val="264F77"/>
          <w:sz w:val="18"/>
          <w:szCs w:val="18"/>
        </w:rPr>
        <w:t xml:space="preserve">l-volume</w:t>
      </w:r>
    </w:p>
    <w:p>
      <w:pPr>
        <w:spacing w:after="140"/>
      </w:pPr>
      <w:r>
        <w:rPr>
          <w:i w:val="false"/>
          <w:iCs w:val="false"/>
          <w:color w:val="1F2744"/>
          <w:sz w:val="22"/>
          <w:szCs w:val="22"/>
        </w:rPr>
        <w:t xml:space="preserve">Filings per 1,000 population, by case type, five-year trend.</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Annual family court filings normalized per 1,000 state population, disaggregated by case type, with five-year trend analysis.</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Case filings of the type in the year</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State population (Census estimates) divided by 1,000</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Annual with 5-year trend overlay</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Missouri OSCA annual statistics; U.S. Census Bureau population estimates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All family court filings statewide</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Refiling of previously dismissed cases (counted once)</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Population trend, demographic shifts, filing fee changes, e-filing adoption</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Always publishable at state level</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Identifies growth areas and informs capacity planning. Foundational metric for legislative appropriations.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County-Level Disparity</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l-disparity</w:t>
      </w:r>
    </w:p>
    <w:p>
      <w:pPr>
        <w:spacing w:after="140"/>
      </w:pPr>
      <w:r>
        <w:rPr>
          <w:i w:val="false"/>
          <w:iCs w:val="false"/>
          <w:color w:val="1F2744"/>
          <w:sz w:val="22"/>
          <w:szCs w:val="22"/>
        </w:rPr>
        <w:t xml:space="preserve">Outcome variance across counties controlling for demographics. Evidence for standardization.</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Coefficient of variation of key outcome metrics (case duration, custody distribution, motion grant rates) across counties after controlling for demographic and case-type composition.</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Standard deviation of adjusted county outcomes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Mean of adjusted county outcomes</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Annual</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Census demographic data</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All counties with n ≥ 50 cases per year</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Counties below minimum sample</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Unmeasured demographic variation, case mix differences not captured in coding</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Statewide analysis requires counties covering 80% of state population</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Supports the case for statewide standardization when county variance exceeds what demographic differences explain.</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Cost to Taxpayers Per Case</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l-cost</w:t>
      </w:r>
    </w:p>
    <w:p>
      <w:pPr>
        <w:spacing w:after="140"/>
      </w:pPr>
      <w:r>
        <w:rPr>
          <w:i w:val="false"/>
          <w:iCs w:val="false"/>
          <w:color w:val="1F2744"/>
          <w:sz w:val="22"/>
          <w:szCs w:val="22"/>
        </w:rPr>
        <w:t xml:space="preserve">Estimated public cost per family court case, including judicial time and indigent services.</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Estimated per-case public expenditure including prorated judicial time, clerical time, court-appointed GAL fees paid from public funds, indigent representation, and facility overhead.</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Total annual family court operational cost</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cases disposed</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Annual</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State court budget, OSCA time studies, GAL payment records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All family court cases statewide</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Privately-paid services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Allocation methodology differences, indirect cost assumptions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State-level always publishable</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Grounds legislative debate in fiscal reality. Supports ROI analysis of reform investments.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Litigation-Years-Per-Child</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l-lit-years</w:t>
      </w:r>
    </w:p>
    <w:p>
      <w:pPr>
        <w:spacing w:after="140"/>
      </w:pPr>
      <w:r>
        <w:rPr>
          <w:i w:val="false"/>
          <w:iCs w:val="false"/>
          <w:color w:val="1F2744"/>
          <w:sz w:val="22"/>
          <w:szCs w:val="22"/>
        </w:rPr>
        <w:t xml:space="preserve">Total court-exposed years for minor children statewide. A harm index.</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Sum of (case duration in years × number of minor children per case), summed statewide and expressed per 1,000 minors.</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Total (case-years × children), summed across all qualifying cases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State minor population (0-17) / 1,000</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Annual</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State court case management data, Census minor population estimates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All cases involving minor children (dissolution with children, paternity, modification, custody, protective orders with custody implications)</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Cases sealed under juvenile statutes, adult-only matters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Multi-case families (same children in multiple cases), interstate custody transfers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State-level minimum; county-level requires n ≥ 25 cases per year</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Fully aggregate. No individual, family, or judge identifiers involved.</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Single most powerful statistic for legislative reform framing — quantifies childhood years spent in litigation.</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Financial Depletion Indicator</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l-financial</w:t>
      </w:r>
    </w:p>
    <w:p>
      <w:pPr>
        <w:spacing w:after="140"/>
      </w:pPr>
      <w:r>
        <w:rPr>
          <w:i w:val="false"/>
          <w:iCs w:val="false"/>
          <w:color w:val="1F2744"/>
          <w:sz w:val="22"/>
          <w:szCs w:val="22"/>
        </w:rPr>
        <w:t xml:space="preserve">Bankruptcies filed during or within two years of family court proceedings.</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Count and rate of personal bankruptcy filings involving at least one party with a concurrent or recent (within 24 months) family court case.</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Bankruptcy filings with matched family court involvement</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bankruptcy filings statewide</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Annual</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Federal bankruptcy court records cross-referenced with state family court records via party-matching</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Personal bankruptcy filings (Chapter 7 and 13)</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Business bankruptcy, matched records with uncertain identity match</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Party-matching accuracy, underlying financial distress independent of litigation</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State-level publication</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Matching performed in a one-way pseudonymized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Quantifies economic harm of family court litigation. Informs debate about court cost-shifting and access reforms.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DV Escalation Post-Filing</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l-dv-escal</w:t>
      </w:r>
    </w:p>
    <w:p>
      <w:pPr>
        <w:spacing w:after="140"/>
      </w:pPr>
      <w:r>
        <w:rPr>
          <w:i w:val="false"/>
          <w:iCs w:val="false"/>
          <w:color w:val="1F2744"/>
          <w:sz w:val="22"/>
          <w:szCs w:val="22"/>
        </w:rPr>
        <w:t xml:space="preserve">Protective order violations following custody filings. Safety signal.</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Rate of protective order violations occurring within 180 days after a custody-related filing in the same party pairing.</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Protective order violations matched to recent custody filings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Custody filings with a related protective order in force</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12 months with 180-day lookforward</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cross-referenced with law enforcement violation records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Custody filings with party-linked protective orders</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Violations in counties below minimum suppression threshold (see Protective Order Data Confidentiality)</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Reporting variance, party matching accuracy, underlying conflict intensity</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Statewide aggregate only; never county-level without n ≥ 25 per reporting period</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Tier B. VAWA-aligned suppression. Aggregate only, DUA required for research use.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Safety-first metric. Quantifies a previously invisible harm pathway.</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CHAPTER · ACADEMIC RESEARCHER</w:t>
      </w:r>
    </w:p>
    <w:p>
      <w:pPr>
        <w:pStyle w:val="Heading1"/>
      </w:pPr>
      <w:r>
        <w:t xml:space="preserve">Academic Researcher</w:t>
      </w:r>
    </w:p>
    <w:p>
      <w:pPr>
        <w:spacing w:after="160"/>
      </w:pPr>
      <w:r>
        <w:t xml:space="preserve">5 metrics. The entries below are ordered by disclosure tier (A to D) and, within each tier, by current visibility status (visible, hidden, missing).</w:t>
      </w:r>
    </w:p>
    <w:p>
      <w:pPr>
        <w:pStyle w:val="Heading3"/>
      </w:pPr>
      <w:r>
        <w:t xml:space="preserve">Demographic Outcome Differentials</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r-demographic</w:t>
      </w:r>
    </w:p>
    <w:p>
      <w:pPr>
        <w:spacing w:after="140"/>
      </w:pPr>
      <w:r>
        <w:rPr>
          <w:i w:val="false"/>
          <w:iCs w:val="false"/>
          <w:color w:val="1F2744"/>
          <w:sz w:val="22"/>
          <w:szCs w:val="22"/>
        </w:rPr>
        <w:t xml:space="preserve">Case outcomes by protected class, controlled for case mix. Disparity study foundation.</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Analysis of family court outcome differentials by demographic characteristics (income, race, ethnicity, representation status) controlling for case complexity.</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Outcome values within each demographic group</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Case count within each demographic group</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36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with demographic coding (subject to availability), linked to ACS for contextual variables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Cases with sufficient demographic coding completeness</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Cases with ambiguous demographic classification</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Demographic coding practice differences, self-reported vs observed classifications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Each demographic cohort requires n ≥ 100 for statistical validity</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Tier B. DUA required. Demographic breakdowns published only with k-anonymity ≥ 10 and disparity context.</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Foundational disparity research capability. Informs targeted reform investments and evaluates existing policies.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Longitudinal Case Data Set</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r-longitudinal</w:t>
      </w:r>
    </w:p>
    <w:p>
      <w:pPr>
        <w:spacing w:after="140"/>
      </w:pPr>
      <w:r>
        <w:rPr>
          <w:i w:val="false"/>
          <w:iCs w:val="false"/>
          <w:color w:val="1F2744"/>
          <w:sz w:val="22"/>
          <w:szCs w:val="22"/>
        </w:rPr>
        <w:t xml:space="preserve">De-identified case-level data with linked outcomes over five+ years. DUA required.</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De-identified case-level records including party attributes, case characteristics, rulings, and longitudinal outcomes (re-filings, enforcement actions) over a rolling 5-year window.</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Not a rate; a dataset</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Not a rate; a dataset</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5-year window</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with longitudinal linkage</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All cases within the window with k-anonymity ≥ 10 in relevant groups</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Sealed cases, cases involving parties opting out of research use</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De-identification noise, missing outcome linkages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Individual research cohorts require IRB approval specifying minimum size</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Tier B. DUA required. IRB approval required. Re-identification prohibited with permanent revocation as penalty.</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Enables rigorous academic research. Foundation for disparity studies, intervention efficacy research, and parenting plan durability analysis.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 data release</w:t>
      </w:r>
    </w:p>
    <w:p>
      <w:pPr>
        <w:pBdr>
          <w:bottom w:val="single" w:color="CCCCCC" w:sz="4" w:space="1"/>
        </w:pBdr>
        <w:spacing w:after="160" w:before="100"/>
      </w:pPr>
      <w:r>
        <w:t xml:space="preserve"/>
      </w:r>
    </w:p>
    <w:p>
      <w:pPr>
        <w:pStyle w:val="Heading3"/>
      </w:pPr>
      <w:r>
        <w:t xml:space="preserve">Parenting Plan Effectiveness</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r-plan-effect</w:t>
      </w:r>
    </w:p>
    <w:p>
      <w:pPr>
        <w:spacing w:after="140"/>
      </w:pPr>
      <w:r>
        <w:rPr>
          <w:i w:val="false"/>
          <w:iCs w:val="false"/>
          <w:color w:val="1F2744"/>
          <w:sz w:val="22"/>
          <w:szCs w:val="22"/>
        </w:rPr>
        <w:t xml:space="preserve">Linked longitudinal data: plan type → stability outcomes → return-to-court.</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Causal-inference-ready dataset linking parenting plan type, compliance data (where available), and longitudinal outcomes including return-to-court, enforcement actions, and child welfare system involvement.</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Not a rate; a research dataset</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Not a rate; a research dataset</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5-year window</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 CoTrackPro compliance data + child welfare cross-links (state agency MOU)</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Cases with complete plan coding and at least 24 months of outcome follow-up</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Cases with sealed follow-up or interstate transfer</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Self-selection into plan types, unmeasured child and family factors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Research cohorts require n ≥ 500 for adequate statistical power</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Tier B. DUA required. IRB approval required. Cross-agency linkages require additional data sharing agreements.</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Enables evidence-based reform of parenting plan presumptions and interventions.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Intervention Efficacy Data</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r-intervention</w:t>
      </w:r>
    </w:p>
    <w:p>
      <w:pPr>
        <w:spacing w:after="140"/>
      </w:pPr>
      <w:r>
        <w:rPr>
          <w:i w:val="false"/>
          <w:iCs w:val="false"/>
          <w:color w:val="1F2744"/>
          <w:sz w:val="22"/>
          <w:szCs w:val="22"/>
        </w:rPr>
        <w:t xml:space="preserve">Outcomes of court-ordered interventions — counseling, mediation, parenting classes.</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Outcomes data for court-ordered interventions, linking intervention type and completion to longitudinal case outcomes.</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Outcome variable values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Intervention recipient count</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36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orders, intervention provider completion records, longitudinal case outcomes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Cases with court-ordered intervention and completion documentation</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Cases with disputed completion, voluntary self-selection into interventions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Self-selection, provider quality variance, completion definition differences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Each intervention type requires n ≥ 100</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Tier B. DUA required.</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Tests whether specific court interventions actually improve outcomes. Informs evidence-based intervention orders.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Cross-State Comparative Dataset</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r-crossstate</w:t>
      </w:r>
    </w:p>
    <w:p>
      <w:pPr>
        <w:spacing w:after="140"/>
      </w:pPr>
      <w:r>
        <w:rPr>
          <w:i w:val="false"/>
          <w:iCs w:val="false"/>
          <w:color w:val="1F2744"/>
          <w:sz w:val="22"/>
          <w:szCs w:val="22"/>
        </w:rPr>
        <w:t xml:space="preserve">Standardized schema enabling cross-jurisdiction research.</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Schema-harmonized dataset combining Missouri data with participating peer states, enabling cross-jurisdiction comparative research.</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Not a rate; a dataset</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Not a rate; a dataset</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Annual releases with point-in-time snapshots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Participating state court data under multi-state MOU</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States that have adopted the Metric Catalog schema</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Non-conforming data fields; suppressed cells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Schema drift, coding practice differences across states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Each participating state contributes only fields meeting its own suppression thresholds</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Tier B. Multi-state DUA required. IRB approval required.</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Enables comparative research that reveals which state-level policy choices produce better outcomes.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CHAPTER · JOURNALIST</w:t>
      </w:r>
    </w:p>
    <w:p>
      <w:pPr>
        <w:pStyle w:val="Heading1"/>
      </w:pPr>
      <w:r>
        <w:t xml:space="preserve">Journalist</w:t>
      </w:r>
    </w:p>
    <w:p>
      <w:pPr>
        <w:spacing w:after="160"/>
      </w:pPr>
      <w:r>
        <w:t xml:space="preserve">5 metrics. The entries below are ordered by disclosure tier (A to D) and, within each tier, by current visibility status (visible, hidden, missing).</w:t>
      </w:r>
    </w:p>
    <w:p>
      <w:pPr>
        <w:pStyle w:val="Heading3"/>
      </w:pPr>
      <w:r>
        <w:t xml:space="preserve">County Performance Dashboard</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3D5A2F"/>
          <w:sz w:val="18"/>
          <w:szCs w:val="18"/>
        </w:rPr>
        <w:t xml:space="preserve">VISIBLE</w:t>
      </w:r>
      <w:r>
        <w:rPr>
          <w:b/>
          <w:bCs/>
          <w:color w:val="555046"/>
          <w:spacing w:val="20"/>
          <w:sz w:val="16"/>
          <w:szCs w:val="16"/>
        </w:rPr>
        <w:t xml:space="preserve">     ID </w:t>
      </w:r>
      <w:r>
        <w:rPr>
          <w:b/>
          <w:bCs/>
          <w:color w:val="264F77"/>
          <w:sz w:val="18"/>
          <w:szCs w:val="18"/>
        </w:rPr>
        <w:t xml:space="preserve">jn-dashboard</w:t>
      </w:r>
    </w:p>
    <w:p>
      <w:pPr>
        <w:spacing w:after="140"/>
      </w:pPr>
      <w:r>
        <w:rPr>
          <w:i w:val="false"/>
          <w:iCs w:val="false"/>
          <w:color w:val="1F2744"/>
          <w:sz w:val="22"/>
          <w:szCs w:val="22"/>
        </w:rPr>
        <w:t xml:space="preserve">Aggregate case flow, disposition, and outcome distribution by county.</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Public dashboard with all Tier A metrics broken out by county, with methodology links, confidence intervals, and comparison to state average.</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Varies by metric</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Varies by metric</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12 months with quarterly refresh</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via OSCA</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All counties meeting minimum sample thresholds</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Counties below n thresholds suppressed</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Vary by underlying metric</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Each metric applies its own minimum</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Enables data-driven reporting on family court performance. Reduces reliance on anecdote.</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pPr>
        <w:pStyle w:val="Heading3"/>
      </w:pPr>
      <w:r>
        <w:t xml:space="preserve">Judicial Vacancy &amp; Load</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3D5A2F"/>
          <w:sz w:val="18"/>
          <w:szCs w:val="18"/>
        </w:rPr>
        <w:t xml:space="preserve">VISIBLE</w:t>
      </w:r>
      <w:r>
        <w:rPr>
          <w:b/>
          <w:bCs/>
          <w:color w:val="555046"/>
          <w:spacing w:val="20"/>
          <w:sz w:val="16"/>
          <w:szCs w:val="16"/>
        </w:rPr>
        <w:t xml:space="preserve">     ID </w:t>
      </w:r>
      <w:r>
        <w:rPr>
          <w:b/>
          <w:bCs/>
          <w:color w:val="264F77"/>
          <w:sz w:val="18"/>
          <w:szCs w:val="18"/>
        </w:rPr>
        <w:t xml:space="preserve">jn-vacancy</w:t>
      </w:r>
    </w:p>
    <w:p>
      <w:pPr>
        <w:spacing w:after="140"/>
      </w:pPr>
      <w:r>
        <w:rPr>
          <w:i w:val="false"/>
          <w:iCs w:val="false"/>
          <w:color w:val="1F2744"/>
          <w:sz w:val="22"/>
          <w:szCs w:val="22"/>
        </w:rPr>
        <w:t xml:space="preserve">Open judicial positions and caseload-per-judge by circuit.</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Current judicial vacancies and average caseload per active judge, by circuit.</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Active cases at snapshot</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Active judges assigned to the case type</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Quarterly snapshot</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OSCA judicial roster; court case management system</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All circuits</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Circuits mid-boundary-realignment</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Circuit sharing arrangements, senior judge participation</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All circuits</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Informs judicial appointment and funding discussions.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pPr>
        <w:pStyle w:val="Heading3"/>
      </w:pPr>
      <w:r>
        <w:t xml:space="preserve">FOIA Response Time Tracker</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jn-foia</w:t>
      </w:r>
    </w:p>
    <w:p>
      <w:pPr>
        <w:spacing w:after="140"/>
      </w:pPr>
      <w:r>
        <w:rPr>
          <w:i w:val="false"/>
          <w:iCs w:val="false"/>
          <w:color w:val="1F2744"/>
          <w:sz w:val="22"/>
          <w:szCs w:val="22"/>
        </w:rPr>
        <w:t xml:space="preserve">How long court administrators take to respond to records requests.</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Aggregate elapsed days from Sunshine Law request submission to substantive response (release, partial release with exemption citation, or denial) by the responding circuit.</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Days from submission to response</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responded requests</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12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Voluntary Sunshine Law request logs, public records requestor surveys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Requests submitted under Chapter 610 RSMo</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Requests voluntarily withdrawn, commercial records-service requests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Request complexity, requester responsiveness to clarification, volume of concurrent requests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Circuit-level requires n ≥ 20 requests per year</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Accountability metric for Sunshine Law compliance. Supports press access.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pPr>
        <w:pStyle w:val="Heading3"/>
      </w:pPr>
      <w:r>
        <w:t xml:space="preserve">Trend Anomaly Alerts</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jn-anomaly</w:t>
      </w:r>
    </w:p>
    <w:p>
      <w:pPr>
        <w:spacing w:after="140"/>
      </w:pPr>
      <w:r>
        <w:rPr>
          <w:i w:val="false"/>
          <w:iCs w:val="false"/>
          <w:color w:val="1F2744"/>
          <w:sz w:val="22"/>
          <w:szCs w:val="22"/>
        </w:rPr>
        <w:t xml:space="preserve">Statistically significant deviations in metrics by jurisdiction, flagged monthly.</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Automated flagging of statistically significant month-over-month or year-over-year changes in jurisdiction-level metrics, with methodology disclosed.</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Actual metric value minus expected</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Standard error of expected value</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Monthly</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Metric Catalog data pipeline</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Metrics with sufficient baseline history</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Metrics newly introduced with insufficient baseline</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Seasonality, one-time events, reporting changes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Baseline of 24 months required</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Supports investigative journalism. Surfaces potential issues for administrative review.</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Monthly</w:t>
      </w:r>
    </w:p>
    <w:p>
      <w:pPr>
        <w:pBdr>
          <w:bottom w:val="single" w:color="CCCCCC" w:sz="4" w:space="1"/>
        </w:pBdr>
        <w:spacing w:after="160" w:before="100"/>
      </w:pPr>
      <w:r>
        <w:t xml:space="preserve"/>
      </w:r>
    </w:p>
    <w:p>
      <w:pPr>
        <w:pStyle w:val="Heading3"/>
      </w:pPr>
      <w:r>
        <w:t xml:space="preserve">Methodology Audit Log</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jn-audit</w:t>
      </w:r>
    </w:p>
    <w:p>
      <w:pPr>
        <w:spacing w:after="140"/>
      </w:pPr>
      <w:r>
        <w:rPr>
          <w:i w:val="false"/>
          <w:iCs w:val="false"/>
          <w:color w:val="1F2744"/>
          <w:sz w:val="22"/>
          <w:szCs w:val="22"/>
        </w:rPr>
        <w:t xml:space="preserve">Public record of every change to metric definitions — essential for credibility.</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Public immutable log of every methodology change, including date, version, rationale, board vote, and comment period summary.</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Not a rate; a log</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Not a rate; a log</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Continuous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Methodology Board proceedings, version control system</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Every methodology version change</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None</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None</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Not applicable</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Essential credibility infrastructure. Allows reproducibility across methodology revisions.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Continuous</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CHAPTER · CHILD (AGE-APPROPRIATE)</w:t>
      </w:r>
    </w:p>
    <w:p>
      <w:pPr>
        <w:pStyle w:val="Heading1"/>
      </w:pPr>
      <w:r>
        <w:t xml:space="preserve">Child (Age-Appropriate)</w:t>
      </w:r>
    </w:p>
    <w:p>
      <w:pPr>
        <w:spacing w:after="160"/>
      </w:pPr>
      <w:r>
        <w:t xml:space="preserve">5 metrics. The entries below are ordered by disclosure tier (A to D) and, within each tier, by current visibility status (visible, hidden, missing).</w:t>
      </w:r>
    </w:p>
    <w:p>
      <w:pPr>
        <w:pStyle w:val="Heading3"/>
      </w:pPr>
      <w:r>
        <w:t xml:space="preserve">Routine Stability Indicator</w:t>
      </w:r>
    </w:p>
    <w:p>
      <w:pPr>
        <w:spacing w:after="80"/>
      </w:pPr>
      <w:r>
        <w:rPr>
          <w:b/>
          <w:bCs/>
          <w:color w:val="555046"/>
          <w:spacing w:val="20"/>
          <w:sz w:val="16"/>
          <w:szCs w:val="16"/>
        </w:rPr>
        <w:t xml:space="preserve">TIER </w:t>
      </w:r>
      <w:r>
        <w:rPr>
          <w:b/>
          <w:bCs/>
          <w:color w:val="0D1220"/>
          <w:sz w:val="18"/>
          <w:szCs w:val="18"/>
        </w:rPr>
        <w:t xml:space="preserve">C · User-Owned</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c-routine</w:t>
      </w:r>
    </w:p>
    <w:p>
      <w:pPr>
        <w:spacing w:after="140"/>
      </w:pPr>
      <w:r>
        <w:rPr>
          <w:i w:val="false"/>
          <w:iCs w:val="false"/>
          <w:color w:val="1F2744"/>
          <w:sz w:val="22"/>
          <w:szCs w:val="22"/>
        </w:rPr>
        <w:t xml:space="preserve">Consistency of bedtime, meals, homework, school across households.</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Aggregate index of routine consistency across a child's two households, based on opted-in parent and age-appropriate child logging of bedtime, meal patterns, homework routines, and school-day structure.</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Routine events aligned across households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tracked routine events</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90-day window</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Opt-in parent and child logging</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Families with opt-in from both parents and age-appropriate child participation</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Families with active safety concerns; children below age 6</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Differential logging practices, divergent family philosophies about routines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Individual scores suppressed; only cohort aggregates published</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Raw data stays in the user account. Only aggregates leave the user environment and only after explicit opt-in. User can withdraw at any time. Child-level data never published. Cohort aggregates only, with parental consent.</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Surfaces whether two-household arrangements maintain the consistency children need for healthy development.</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 aggregate</w:t>
      </w:r>
    </w:p>
    <w:p>
      <w:pPr>
        <w:pBdr>
          <w:bottom w:val="single" w:color="CCCCCC" w:sz="4" w:space="1"/>
        </w:pBdr>
        <w:spacing w:after="160" w:before="100"/>
      </w:pPr>
      <w:r>
        <w:t xml:space="preserve"/>
      </w:r>
    </w:p>
    <w:p>
      <w:pPr>
        <w:pStyle w:val="Heading3"/>
      </w:pPr>
      <w:r>
        <w:t xml:space="preserve">School Continuity</w:t>
      </w:r>
    </w:p>
    <w:p>
      <w:pPr>
        <w:spacing w:after="80"/>
      </w:pPr>
      <w:r>
        <w:rPr>
          <w:b/>
          <w:bCs/>
          <w:color w:val="555046"/>
          <w:spacing w:val="20"/>
          <w:sz w:val="16"/>
          <w:szCs w:val="16"/>
        </w:rPr>
        <w:t xml:space="preserve">TIER </w:t>
      </w:r>
      <w:r>
        <w:rPr>
          <w:b/>
          <w:bCs/>
          <w:color w:val="0D1220"/>
          <w:sz w:val="18"/>
          <w:szCs w:val="18"/>
        </w:rPr>
        <w:t xml:space="preserve">C · User-Owned</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c-school</w:t>
      </w:r>
    </w:p>
    <w:p>
      <w:pPr>
        <w:spacing w:after="140"/>
      </w:pPr>
      <w:r>
        <w:rPr>
          <w:i w:val="false"/>
          <w:iCs w:val="false"/>
          <w:color w:val="1F2744"/>
          <w:sz w:val="22"/>
          <w:szCs w:val="22"/>
        </w:rPr>
        <w:t xml:space="preserve">Changes in school, attendance, and tardiness correlated with exchange patterns.</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School enrollment changes, attendance rates, and tardiness rates for children in family court cases, correlated with custody exchange patterns.</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Varies by sub-metric</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Varies by sub-metric</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School-year basis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Opt-in parent reports, with FERPA-compliant school data linkage where parent consent provided</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Children age 5-17 in opt-in families</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Home-schooled children (separate analysis), private schools without data-sharing</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Family moves unrelated to custody, school district policies, school quality differences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Circuit-level requires n ≥ 50 enrolled children</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Raw data stays in the user account. Only aggregates leave the user environment and only after explicit opt-in. User can withdraw at any time. FERPA-compliant. School data accessed only with explicit parental consent.</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Identifies stability impacts of custody arrangements on the most measurable aspect of child life.</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Activity Continuity</w:t>
      </w:r>
    </w:p>
    <w:p>
      <w:pPr>
        <w:spacing w:after="80"/>
      </w:pPr>
      <w:r>
        <w:rPr>
          <w:b/>
          <w:bCs/>
          <w:color w:val="555046"/>
          <w:spacing w:val="20"/>
          <w:sz w:val="16"/>
          <w:szCs w:val="16"/>
        </w:rPr>
        <w:t xml:space="preserve">TIER </w:t>
      </w:r>
      <w:r>
        <w:rPr>
          <w:b/>
          <w:bCs/>
          <w:color w:val="0D1220"/>
          <w:sz w:val="18"/>
          <w:szCs w:val="18"/>
        </w:rPr>
        <w:t xml:space="preserve">C · User-Owned</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c-activity</w:t>
      </w:r>
    </w:p>
    <w:p>
      <w:pPr>
        <w:spacing w:after="140"/>
      </w:pPr>
      <w:r>
        <w:rPr>
          <w:i w:val="false"/>
          <w:iCs w:val="false"/>
          <w:color w:val="1F2744"/>
          <w:sz w:val="22"/>
          <w:szCs w:val="22"/>
        </w:rPr>
        <w:t xml:space="preserve">Sports, therapy, and medical appointments maintained across both households.</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Proportion of a child's ongoing activities, therapy appointments, and medical care that are maintained consistently across both households.</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Activities maintained with both parents' participation or facilitation</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active activities and appointments</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90-day window</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Opt-in parent logging</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Families with opt-in from both parents</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Activities newly introduced by one parent</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Differential parent tracking, legitimate disagreements about activity appropriateness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Cohort-level requires n ≥ 50 families</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Raw data stays in the user account. Only aggregates leave the user environment and only after explicit opt-in. User can withdraw at any time.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Detects when family court arrangements fragment the child's life. A humane, measurable impact signal.</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pPr>
        <w:pStyle w:val="Heading3"/>
      </w:pPr>
      <w:r>
        <w:t xml:space="preserve">Sibling &amp; Extended Family Contact</w:t>
      </w:r>
    </w:p>
    <w:p>
      <w:pPr>
        <w:spacing w:after="80"/>
      </w:pPr>
      <w:r>
        <w:rPr>
          <w:b/>
          <w:bCs/>
          <w:color w:val="555046"/>
          <w:spacing w:val="20"/>
          <w:sz w:val="16"/>
          <w:szCs w:val="16"/>
        </w:rPr>
        <w:t xml:space="preserve">TIER </w:t>
      </w:r>
      <w:r>
        <w:rPr>
          <w:b/>
          <w:bCs/>
          <w:color w:val="0D1220"/>
          <w:sz w:val="18"/>
          <w:szCs w:val="18"/>
        </w:rPr>
        <w:t xml:space="preserve">C · User-Owned</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c-sibling</w:t>
      </w:r>
    </w:p>
    <w:p>
      <w:pPr>
        <w:spacing w:after="140"/>
      </w:pPr>
      <w:r>
        <w:rPr>
          <w:i w:val="false"/>
          <w:iCs w:val="false"/>
          <w:color w:val="1F2744"/>
          <w:sz w:val="22"/>
          <w:szCs w:val="22"/>
        </w:rPr>
        <w:t xml:space="preserve">Frequency of contact with siblings and extended family. A wellbeing proxy.</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Frequency of documented contact between a child and their siblings (including half- and step-siblings) and extended family members (grandparents, aunts, uncles).</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Documented contact events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Time period</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90-day window</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Opt-in parent and age-appropriate child logging</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Families with at least one sibling or documented extended family relationship</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Families where contact is legally restricted</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Geographic distance, family conflict with extended relatives, pre-existing relationship quality</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Cohort-level requires n ≥ 50</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Raw data stays in the user account. Only aggregates leave the user environment and only after explicit opt-in. User can withdraw at any time.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Extended family ties are a protective factor in child development. Measurement makes maintenance visible.</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pPr>
        <w:pStyle w:val="Heading3"/>
      </w:pPr>
      <w:r>
        <w:t xml:space="preserve">Child Wellbeing Self-Report</w:t>
      </w:r>
    </w:p>
    <w:p>
      <w:pPr>
        <w:spacing w:after="80"/>
      </w:pPr>
      <w:r>
        <w:rPr>
          <w:b/>
          <w:bCs/>
          <w:color w:val="555046"/>
          <w:spacing w:val="20"/>
          <w:sz w:val="16"/>
          <w:szCs w:val="16"/>
        </w:rPr>
        <w:t xml:space="preserve">TIER </w:t>
      </w:r>
      <w:r>
        <w:rPr>
          <w:b/>
          <w:bCs/>
          <w:color w:val="0D1220"/>
          <w:sz w:val="18"/>
          <w:szCs w:val="18"/>
        </w:rPr>
        <w:t xml:space="preserve">D · Never Disclosed</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c-wellbeing</w:t>
      </w:r>
    </w:p>
    <w:p>
      <w:pPr>
        <w:spacing w:after="140"/>
      </w:pPr>
      <w:r>
        <w:rPr>
          <w:i w:val="false"/>
          <w:iCs w:val="false"/>
          <w:color w:val="1F2744"/>
          <w:sz w:val="22"/>
          <w:szCs w:val="22"/>
        </w:rPr>
        <w:t xml:space="preserve">Opt-in, age-appropriate wellbeing reporting. Never disclosed individually.</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Age-appropriate, opt-in child wellbeing reporting using validated short-form instruments (e.g., KINDL-R for children 7+).</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Wellbeing score</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Scale maximum</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Quarterly at most; often annual</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Validated child self-report instruments administered through opt-in platform</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Children age 7+ with parental opt-in and age-appropriate assent</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Children with documented distress responses to prior administration</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Instrument limitations, transient mood effects, caregiver proximity during administration</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Individual scores never published. Only aggregates of n ≥ 100 children released.</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Tier D. Individual responses never disclosed, never used in any court proceeding, never linked back to the responding child's case. Aggregate-only release, with periodic data destruction.</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Ultimate outcome metric. Answers the question that matters most: are the children okay?</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 cohort release</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CHAPTER · MENTAL HEALTH PROFESSIONAL</w:t>
      </w:r>
    </w:p>
    <w:p>
      <w:pPr>
        <w:pStyle w:val="Heading1"/>
      </w:pPr>
      <w:r>
        <w:t xml:space="preserve">Mental Health Professional</w:t>
      </w:r>
    </w:p>
    <w:p>
      <w:pPr>
        <w:spacing w:after="160"/>
      </w:pPr>
      <w:r>
        <w:t xml:space="preserve">5 metrics. The entries below are ordered by disclosure tier (A to D) and, within each tier, by current visibility status (visible, hidden, missing).</w:t>
      </w:r>
    </w:p>
    <w:p>
      <w:pPr>
        <w:pStyle w:val="Heading3"/>
      </w:pPr>
      <w:r>
        <w:t xml:space="preserve">Service Utilization Trends</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t-services</w:t>
      </w:r>
    </w:p>
    <w:p>
      <w:pPr>
        <w:spacing w:after="140"/>
      </w:pPr>
      <w:r>
        <w:rPr>
          <w:i w:val="false"/>
          <w:iCs w:val="false"/>
          <w:color w:val="1F2744"/>
          <w:sz w:val="22"/>
          <w:szCs w:val="22"/>
        </w:rPr>
        <w:t xml:space="preserve">Use of mental health services pre/during/post case, at population level.</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Aggregate rates of mental health service utilization among adults and children involved in family court proceedings, at population level.</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Service utilization events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Cohort person-months</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Annual</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Medicaid claims, private insurance aggregate reporting, state mental health agency data — all via DUA where required</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Adults and minors with family court case in the period</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Records without reliable family court linkage</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Insurance coverage variance, service availability, stigma</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State-level aggregate only</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 HIPAA-compliant aggregate-only reporting.</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Quantifies mental health impact of family court involvement at population level. Informs service investment.</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Critical Incident Flags</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t-critical</w:t>
      </w:r>
    </w:p>
    <w:p>
      <w:pPr>
        <w:spacing w:after="140"/>
      </w:pPr>
      <w:r>
        <w:rPr>
          <w:i w:val="false"/>
          <w:iCs w:val="false"/>
          <w:color w:val="1F2744"/>
          <w:sz w:val="22"/>
          <w:szCs w:val="22"/>
        </w:rPr>
        <w:t xml:space="preserve">Aggregated, anonymized critical incidents. Safety-signal reporting.</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Aggregated count of critical incidents (suicide mention, threat, allegation of harm to child, allegation of weapon) flagged by users or automated detection in opt-in communications.</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Flagged incidents in period</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Active users × period</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30 days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User flags plus automated content screening on opt-in data</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Opt-in users</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False-positive flags after human review</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Detection sensitivity settings, false positive rates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Aggregate-only reporting; never individual</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Tier B with DUA. Never individual-level. Mandatory reporting to appropriate safety authorities when thresholds are met regardless of aggregate reporting.</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Safety signal aggregation. Identifies concerning patterns at jurisdiction level.</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Monthly</w:t>
      </w:r>
    </w:p>
    <w:p>
      <w:pPr>
        <w:pBdr>
          <w:bottom w:val="single" w:color="CCCCCC" w:sz="4" w:space="1"/>
        </w:pBdr>
        <w:spacing w:after="160" w:before="100"/>
      </w:pPr>
      <w:r>
        <w:t xml:space="preserve"/>
      </w:r>
    </w:p>
    <w:p>
      <w:pPr>
        <w:pStyle w:val="Heading3"/>
      </w:pPr>
      <w:r>
        <w:t xml:space="preserve">Conflict Intensity Trajectory</w:t>
      </w:r>
    </w:p>
    <w:p>
      <w:pPr>
        <w:spacing w:after="80"/>
      </w:pPr>
      <w:r>
        <w:rPr>
          <w:b/>
          <w:bCs/>
          <w:color w:val="555046"/>
          <w:spacing w:val="20"/>
          <w:sz w:val="16"/>
          <w:szCs w:val="16"/>
        </w:rPr>
        <w:t xml:space="preserve">TIER </w:t>
      </w:r>
      <w:r>
        <w:rPr>
          <w:b/>
          <w:bCs/>
          <w:color w:val="0D1220"/>
          <w:sz w:val="18"/>
          <w:szCs w:val="18"/>
        </w:rPr>
        <w:t xml:space="preserve">C · User-Owned</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t-conflict</w:t>
      </w:r>
    </w:p>
    <w:p>
      <w:pPr>
        <w:spacing w:after="140"/>
      </w:pPr>
      <w:r>
        <w:rPr>
          <w:i w:val="false"/>
          <w:iCs w:val="false"/>
          <w:color w:val="1F2744"/>
          <w:sz w:val="22"/>
          <w:szCs w:val="22"/>
        </w:rPr>
        <w:t xml:space="preserve">NLP-scored hostility trend from co-parent communication. Transparent methodology.</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Hostility intensity score (0-100) derived from NLP analysis of opted-in co-parent communication, using a transparent, peer-reviewed linguistic feature model.</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Weighted hostility features in messages (negation, second-person blame, intensifiers, catastrophizing, absolutism)</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messages in window</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30-day rolling</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User-opted-in CoTrackPro communication archive</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Parents who have explicitly opted into research participation with active communication</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One-way communication only, legal hold communications, attorney-inclusive threads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Cultural differences in directness, language non-native effects, emergency communications, documented crises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Individual score suppressed; only cohort-level aggregates published (county, case type, tenure)</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Raw data stays in the user account. Only aggregates leave the user environment and only after explicit opt-in. User can withdraw at any time. Individual message content never leaves user account. Only scored features aggregated with DP noise.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First large-scale measurement of whether de-escalation interventions actually work.</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Monthly aggregate</w:t>
      </w:r>
    </w:p>
    <w:p>
      <w:pPr>
        <w:pBdr>
          <w:bottom w:val="single" w:color="CCCCCC" w:sz="4" w:space="1"/>
        </w:pBdr>
        <w:spacing w:after="160" w:before="100"/>
      </w:pPr>
      <w:r>
        <w:t xml:space="preserve"/>
      </w:r>
    </w:p>
    <w:p>
      <w:pPr>
        <w:pStyle w:val="Heading3"/>
      </w:pPr>
      <w:r>
        <w:t xml:space="preserve">De-escalation Tool Usage</w:t>
      </w:r>
    </w:p>
    <w:p>
      <w:pPr>
        <w:spacing w:after="80"/>
      </w:pPr>
      <w:r>
        <w:rPr>
          <w:b/>
          <w:bCs/>
          <w:color w:val="555046"/>
          <w:spacing w:val="20"/>
          <w:sz w:val="16"/>
          <w:szCs w:val="16"/>
        </w:rPr>
        <w:t xml:space="preserve">TIER </w:t>
      </w:r>
      <w:r>
        <w:rPr>
          <w:b/>
          <w:bCs/>
          <w:color w:val="0D1220"/>
          <w:sz w:val="18"/>
          <w:szCs w:val="18"/>
        </w:rPr>
        <w:t xml:space="preserve">C · User-Owned</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t-deescalate</w:t>
      </w:r>
    </w:p>
    <w:p>
      <w:pPr>
        <w:spacing w:after="140"/>
      </w:pPr>
      <w:r>
        <w:rPr>
          <w:i w:val="false"/>
          <w:iCs w:val="false"/>
          <w:color w:val="1F2744"/>
          <w:sz w:val="22"/>
          <w:szCs w:val="22"/>
        </w:rPr>
        <w:t xml:space="preserve">Frequency of rewrite-before-send and similar tools. Adoption signal.</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Rate at which users invoke rewrite-before-send and similar de-escalation tools, and the rate at which suggested revisions are adopted.</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Tool invocations with adoption of suggested revision</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messages composed</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30-day window</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Platform analytics from opted-in users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Users with opt-in to anonymous usage analytics</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Non-participating users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Tool design changes, user familiarity growth</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Cohort-level requires n ≥ 100 users</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Raw data stays in the user account. Only aggregates leave the user environment and only after explicit opt-in. User can withdraw at any time.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Adoption signal for de-escalation technology. Informs product and intervention design.</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Monthly</w:t>
      </w:r>
    </w:p>
    <w:p>
      <w:pPr>
        <w:pBdr>
          <w:bottom w:val="single" w:color="CCCCCC" w:sz="4" w:space="1"/>
        </w:pBdr>
        <w:spacing w:after="160" w:before="100"/>
      </w:pPr>
      <w:r>
        <w:t xml:space="preserve"/>
      </w:r>
    </w:p>
    <w:p>
      <w:pPr>
        <w:pStyle w:val="Heading3"/>
      </w:pPr>
      <w:r>
        <w:t xml:space="preserve">Repair Attempt Rate</w:t>
      </w:r>
    </w:p>
    <w:p>
      <w:pPr>
        <w:spacing w:after="80"/>
      </w:pPr>
      <w:r>
        <w:rPr>
          <w:b/>
          <w:bCs/>
          <w:color w:val="555046"/>
          <w:spacing w:val="20"/>
          <w:sz w:val="16"/>
          <w:szCs w:val="16"/>
        </w:rPr>
        <w:t xml:space="preserve">TIER </w:t>
      </w:r>
      <w:r>
        <w:rPr>
          <w:b/>
          <w:bCs/>
          <w:color w:val="0D1220"/>
          <w:sz w:val="18"/>
          <w:szCs w:val="18"/>
        </w:rPr>
        <w:t xml:space="preserve">C · User-Owned</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t-repair</w:t>
      </w:r>
    </w:p>
    <w:p>
      <w:pPr>
        <w:spacing w:after="140"/>
      </w:pPr>
      <w:r>
        <w:rPr>
          <w:i w:val="false"/>
          <w:iCs w:val="false"/>
          <w:color w:val="1F2744"/>
          <w:sz w:val="22"/>
          <w:szCs w:val="22"/>
        </w:rPr>
        <w:t xml:space="preserve">Messages acknowledging prior conflict constructively — a resilience indicator.</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Proportion of messages in conflict-escalated threads that meet the definition of a repair attempt (acknowledgment, apology, reframing, or constructive redirection).</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Messages coded as repair attempts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Messages in conflict-escalated threads</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30-day window</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Opt-in communication archive with NLP coding</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Threads in which hostility score exceeded a threshold</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Ambiguous or contested coding</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Cultural and linguistic variation in repair expression</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Cohort-level requires n ≥ 100 threads</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Raw data stays in the user account. Only aggregates leave the user environment and only after explicit opt-in. User can withdraw at any time.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Resilience measurement. Identifies whether relationships are capable of recovery.</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Monthly</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CHAPTER · LAW ENFORCEMENT</w:t>
      </w:r>
    </w:p>
    <w:p>
      <w:pPr>
        <w:pStyle w:val="Heading1"/>
      </w:pPr>
      <w:r>
        <w:t xml:space="preserve">Law Enforcement</w:t>
      </w:r>
    </w:p>
    <w:p>
      <w:pPr>
        <w:spacing w:after="160"/>
      </w:pPr>
      <w:r>
        <w:t xml:space="preserve">4 metrics. The entries below are ordered by disclosure tier (A to D) and, within each tier, by current visibility status (visible, hidden, missing).</w:t>
      </w:r>
    </w:p>
    <w:p>
      <w:pPr>
        <w:pStyle w:val="Heading3"/>
      </w:pPr>
      <w:r>
        <w:t xml:space="preserve">Active Order Status Check</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pd-status</w:t>
      </w:r>
    </w:p>
    <w:p>
      <w:pPr>
        <w:spacing w:after="140"/>
      </w:pPr>
      <w:r>
        <w:rPr>
          <w:i w:val="false"/>
          <w:iCs w:val="false"/>
          <w:color w:val="1F2744"/>
          <w:sz w:val="22"/>
          <w:szCs w:val="22"/>
        </w:rPr>
        <w:t xml:space="preserve">Real-time existence and terms of active custody or protective orders. Already partially available.</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Real-time API for officers responding to calls to verify existence, terms, and contact restrictions of active family court orders (custody, protective).</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Not a rate; a lookup service</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Not a rate; a lookup service</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Real-time</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State court case management system; integration with existing law enforcement data networks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All active family court orders with enforcement relevance</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Sealed orders, orders outside enforcement scope</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Data freshness lag (target &lt; 15 minutes)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Service-level; no statistical sampling</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Tier A for officer access with audit log. Aggregate usage statistics Tier A.</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Reduces cross-jurisdiction enforcement failures. Already partially available; this extends and standardizes.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Real-time</w:t>
      </w:r>
    </w:p>
    <w:p>
      <w:pPr>
        <w:pBdr>
          <w:bottom w:val="single" w:color="CCCCCC" w:sz="4" w:space="1"/>
        </w:pBdr>
        <w:spacing w:after="160" w:before="100"/>
      </w:pPr>
      <w:r>
        <w:t xml:space="preserve"/>
      </w:r>
    </w:p>
    <w:p>
      <w:pPr>
        <w:pStyle w:val="Heading3"/>
      </w:pPr>
      <w:r>
        <w:t xml:space="preserve">Cross-Jurisdiction Order Verification</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pd-crossjur</w:t>
      </w:r>
    </w:p>
    <w:p>
      <w:pPr>
        <w:spacing w:after="140"/>
      </w:pPr>
      <w:r>
        <w:rPr>
          <w:i w:val="false"/>
          <w:iCs w:val="false"/>
          <w:color w:val="1F2744"/>
          <w:sz w:val="22"/>
          <w:szCs w:val="22"/>
        </w:rPr>
        <w:t xml:space="preserve">Confirmed enforceability of out-of-state orders. A gap in current systems.</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Success rate for real-time verification of out-of-state family court orders presented to responding officers.</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Verified orders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Verification attempts</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12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Law enforcement verification system logs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Verification attempts during officer response</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Non-urgent verification requests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Other-state system availability, information completeness at point of request</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Jurisdiction-level requires n ≥ 20 per year</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Closes interstate enforcement gap. Supports FFVE (Full Faith and Credit for Protection Orders Act) implementation.</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pPr>
        <w:pStyle w:val="Heading3"/>
      </w:pPr>
      <w:r>
        <w:t xml:space="preserve">Violation Report Turnaround</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pd-violation</w:t>
      </w:r>
    </w:p>
    <w:p>
      <w:pPr>
        <w:spacing w:after="140"/>
      </w:pPr>
      <w:r>
        <w:rPr>
          <w:i w:val="false"/>
          <w:iCs w:val="false"/>
          <w:color w:val="1F2744"/>
          <w:sz w:val="22"/>
          <w:szCs w:val="22"/>
        </w:rPr>
        <w:t xml:space="preserve">Time from officer-documented violation to court action.</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Elapsed days from officer-documented violation report submission to first court action (hearing scheduled, summons issued, or disposition).</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Days from report to action</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officer-documented violations in period</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12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Integrated law enforcement and court systems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Formally filed violation reports</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Informal referrals, declined prosecutions without court filing</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Jurisdictional workflow differences, prosecution filing practices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Jurisdiction requires n ≥ 20 per year</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Quantifies enforcement pipeline efficiency. Identifies bottlenecks.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pPr>
        <w:pStyle w:val="Heading3"/>
      </w:pPr>
      <w:r>
        <w:t xml:space="preserve">Custody Exchange Call Volume</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pd-exchange</w:t>
      </w:r>
    </w:p>
    <w:p>
      <w:pPr>
        <w:spacing w:after="140"/>
      </w:pPr>
      <w:r>
        <w:rPr>
          <w:i w:val="false"/>
          <w:iCs w:val="false"/>
          <w:color w:val="1F2744"/>
          <w:sz w:val="22"/>
          <w:szCs w:val="22"/>
        </w:rPr>
        <w:t xml:space="preserve">Dispatch calls tied to custody exchange points. Hotspot mapping.</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Count of dispatch calls at documented custody exchange locations (e.g., police department lobbies, designated safe exchange sites), mapped to geographic hotspots.</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Dispatch calls at or near exchange locations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Calendar period</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12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Law enforcement dispatch records with location coding</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Calls coded as custody-exchange-related</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Calls at same location unrelated to custody</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Coding practice differences, location overlap</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Hotspot analysis requires n ≥ 25 calls per location per year</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 Address-level data suppressed; presented only as heat maps.</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Identifies where exchange arrangements are failing. Supports safer-exchange infrastructure investment.</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CHAPTER · MEDIATOR</w:t>
      </w:r>
    </w:p>
    <w:p>
      <w:pPr>
        <w:pStyle w:val="Heading1"/>
      </w:pPr>
      <w:r>
        <w:t xml:space="preserve">Mediator</w:t>
      </w:r>
    </w:p>
    <w:p>
      <w:pPr>
        <w:spacing w:after="160"/>
      </w:pPr>
      <w:r>
        <w:t xml:space="preserve">4 metrics. The entries below are ordered by disclosure tier (A to D) and, within each tier, by current visibility status (visible, hidden, missing).</w:t>
      </w:r>
    </w:p>
    <w:p>
      <w:pPr>
        <w:pStyle w:val="Heading3"/>
      </w:pPr>
      <w:r>
        <w:t xml:space="preserve">Settlement Rate</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3D5A2F"/>
          <w:sz w:val="18"/>
          <w:szCs w:val="18"/>
        </w:rPr>
        <w:t xml:space="preserve">VISIBLE</w:t>
      </w:r>
      <w:r>
        <w:rPr>
          <w:b/>
          <w:bCs/>
          <w:color w:val="555046"/>
          <w:spacing w:val="20"/>
          <w:sz w:val="16"/>
          <w:szCs w:val="16"/>
        </w:rPr>
        <w:t xml:space="preserve">     ID </w:t>
      </w:r>
      <w:r>
        <w:rPr>
          <w:b/>
          <w:bCs/>
          <w:color w:val="264F77"/>
          <w:sz w:val="18"/>
          <w:szCs w:val="18"/>
        </w:rPr>
        <w:t xml:space="preserve">md-settle</w:t>
      </w:r>
    </w:p>
    <w:p>
      <w:pPr>
        <w:spacing w:after="140"/>
      </w:pPr>
      <w:r>
        <w:rPr>
          <w:i w:val="false"/>
          <w:iCs w:val="false"/>
          <w:color w:val="1F2744"/>
          <w:sz w:val="22"/>
          <w:szCs w:val="22"/>
        </w:rPr>
        <w:t xml:space="preserve">Proportion of referred cases reaching full or partial agreement.</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Proportion of cases referred to mediation that reach full or partial agreement within the mediation process.</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Cases with full or partial agreement</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cases referred to mediation</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Annual</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Mediation program records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Cases formally referred and entering mediation</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Cases withdrawn before initial mediation session</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Referral criteria differences across programs, mediator experience variance</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Program-level requires n ≥ 30 per year</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Standard program outcome metric.</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Session Count to Resolution</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md-sessions</w:t>
      </w:r>
    </w:p>
    <w:p>
      <w:pPr>
        <w:spacing w:after="140"/>
      </w:pPr>
      <w:r>
        <w:rPr>
          <w:i w:val="false"/>
          <w:iCs w:val="false"/>
          <w:color w:val="1F2744"/>
          <w:sz w:val="22"/>
          <w:szCs w:val="22"/>
        </w:rPr>
        <w:t xml:space="preserve">Average sessions needed, by case complexity.</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Mean and median number of mediation sessions required to reach resolution (agreement, partial agreement, or termination without agreement), stratified by case complexity.</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Sum of sessions across cases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cases</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Rolling 12 months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Mediation program records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Cases reaching any terminal status</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Ongoing cases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Case complexity, mediator style, party cooperation</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Program-level requires n ≥ 30</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Efficiency measure. Supports program sizing and budget decisions.</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Durability of Agreements</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md-durable</w:t>
      </w:r>
    </w:p>
    <w:p>
      <w:pPr>
        <w:spacing w:after="140"/>
      </w:pPr>
      <w:r>
        <w:rPr>
          <w:i w:val="false"/>
          <w:iCs w:val="false"/>
          <w:color w:val="1F2744"/>
          <w:sz w:val="22"/>
          <w:szCs w:val="22"/>
        </w:rPr>
        <w:t xml:space="preserve">Proportion of mediated agreements that hold without return-to-court within 24 months.</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Proportion of cases reaching mediated agreement that remain stable (no return-to-court on the same substantive issues) for 24 months post-agreement.</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Mediated-agreement cases stable at 24 months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mediated-agreement cases with 24+ months of follow-up</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Annual with 24-month lookforward</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Mediation program records plus court case management system</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Cases with documented mediation agreement</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Cases transferred to other jurisdictions, cases with agreements later vacated on appeal</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Cases most likely to succeed may be pre-selected to mediation; agreement quality variance</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Program-level requires n ≥ 30 agreements with 24-month follow-up</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True success metric for mediation programs. Distinguishes genuine resolution from pyrrhic agreement.</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Post-Mediation Conflict Intensity</w:t>
      </w:r>
    </w:p>
    <w:p>
      <w:pPr>
        <w:spacing w:after="80"/>
      </w:pPr>
      <w:r>
        <w:rPr>
          <w:b/>
          <w:bCs/>
          <w:color w:val="555046"/>
          <w:spacing w:val="20"/>
          <w:sz w:val="16"/>
          <w:szCs w:val="16"/>
        </w:rPr>
        <w:t xml:space="preserve">TIER </w:t>
      </w:r>
      <w:r>
        <w:rPr>
          <w:b/>
          <w:bCs/>
          <w:color w:val="0D1220"/>
          <w:sz w:val="18"/>
          <w:szCs w:val="18"/>
        </w:rPr>
        <w:t xml:space="preserve">C · User-Owned</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md-postconflict</w:t>
      </w:r>
    </w:p>
    <w:p>
      <w:pPr>
        <w:spacing w:after="140"/>
      </w:pPr>
      <w:r>
        <w:rPr>
          <w:i w:val="false"/>
          <w:iCs w:val="false"/>
          <w:color w:val="1F2744"/>
          <w:sz w:val="22"/>
          <w:szCs w:val="22"/>
        </w:rPr>
        <w:t xml:space="preserve">Measured reduction in communication hostility post-mediation. Efficacy signal.</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Change in hostility-intensity score (see Conflict Intensity Trajectory) from 30 days pre-mediation to 90 days post-mediation, for opted-in participants.</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Post-mediation score minus pre-mediation score</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Not applicable; a difference measure</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Matched pre-post, 90-day intervals</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Opt-in CoTrackPro communication data</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Participants with pre- and post-mediation communication data</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Participants with communication suspension during window</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Regression to mean, other concurrent interventions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Cohort-level requires n ≥ 50 matched cases</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Raw data stays in the user account. Only aggregates leave the user environment and only after explicit opt-in. User can withdraw at any time.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First rigorous signal of whether mediation reduces sustained conflict. Major research contribution.</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 cohort release</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CHAPTER · EMPLOYER / EAP</w:t>
      </w:r>
    </w:p>
    <w:p>
      <w:pPr>
        <w:pStyle w:val="Heading1"/>
      </w:pPr>
      <w:r>
        <w:t xml:space="preserve">Employer / EAP</w:t>
      </w:r>
    </w:p>
    <w:p>
      <w:pPr>
        <w:spacing w:after="160"/>
      </w:pPr>
      <w:r>
        <w:t xml:space="preserve">3 metrics. The entries below are ordered by disclosure tier (A to D) and, within each tier, by current visibility status (visible, hidden, missing).</w:t>
      </w:r>
    </w:p>
    <w:p>
      <w:pPr>
        <w:pStyle w:val="Heading3"/>
      </w:pPr>
      <w:r>
        <w:t xml:space="preserve">EAP Family Law Referral Volume</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e-eap</w:t>
      </w:r>
    </w:p>
    <w:p>
      <w:pPr>
        <w:spacing w:after="140"/>
      </w:pPr>
      <w:r>
        <w:rPr>
          <w:i w:val="false"/>
          <w:iCs w:val="false"/>
          <w:color w:val="1F2744"/>
          <w:sz w:val="22"/>
          <w:szCs w:val="22"/>
        </w:rPr>
        <w:t xml:space="preserve">Requests for family-law-related EAP services, anonymized.</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Aggregate count and rate of family-law-related referrals to Employee Assistance Programs, reported by participating EAP providers.</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Family-law-related referrals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Total EAP utilizations</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Quarterly</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Participating EAP provider aggregate reports</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Referrals categorized as family/relationship/legal</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Non-participating EAP providers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Provider participation coverage, categorization practice differences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Statewide aggregate requires n ≥ 1,000 EAP utilizations per quarter in participating providers</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Employer-facing workforce wellness metric. Supports employer engagement in reform.</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Quarterly</w:t>
      </w:r>
    </w:p>
    <w:p>
      <w:pPr>
        <w:pBdr>
          <w:bottom w:val="single" w:color="CCCCCC" w:sz="4" w:space="1"/>
        </w:pBdr>
        <w:spacing w:after="160" w:before="100"/>
      </w:pPr>
      <w:r>
        <w:t xml:space="preserve"/>
      </w:r>
    </w:p>
    <w:p>
      <w:pPr>
        <w:pStyle w:val="Heading3"/>
      </w:pPr>
      <w:r>
        <w:t xml:space="preserve">Workforce Impact Estimate</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e-workforce</w:t>
      </w:r>
    </w:p>
    <w:p>
      <w:pPr>
        <w:spacing w:after="140"/>
      </w:pPr>
      <w:r>
        <w:rPr>
          <w:i w:val="false"/>
          <w:iCs w:val="false"/>
          <w:color w:val="1F2744"/>
          <w:sz w:val="22"/>
          <w:szCs w:val="22"/>
        </w:rPr>
        <w:t xml:space="preserve">Aggregate estimate of workforce hours lost to family court attendance.</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State-level estimate of workforce hours lost to court attendance, derived from average-hearing-per-case figures × family court case volume.</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Estimated hours of court-attendance-related work loss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State workforce hours</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Annual</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Court case management system × OSCA hearing-time studies × Bureau of Labor Statistics workforce data</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All Missouri family court cases involving working-age parties</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Cases where parties are unemployed or retired</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Work-from-home and flexible-schedule prevalence, court calendar practices</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State-level always publishable</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Quantifies family court as a workforce wellness issue. Engages employer constituency.</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pPr>
        <w:pStyle w:val="Heading3"/>
      </w:pPr>
      <w:r>
        <w:t xml:space="preserve">Court-Related Leave Patterns</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VISIBILITY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e-leave</w:t>
      </w:r>
    </w:p>
    <w:p>
      <w:pPr>
        <w:spacing w:after="140"/>
      </w:pPr>
      <w:r>
        <w:rPr>
          <w:i w:val="false"/>
          <w:iCs w:val="false"/>
          <w:color w:val="1F2744"/>
          <w:sz w:val="22"/>
          <w:szCs w:val="22"/>
        </w:rPr>
        <w:t xml:space="preserve">Aggregate leave tied to custody exchanges and court dates.</w:t>
      </w:r>
    </w:p>
    <w:p>
      <w:pPr>
        <w:spacing w:after="20" w:before="80"/>
      </w:pPr>
      <w:r>
        <w:rPr>
          <w:b/>
          <w:bCs/>
          <w:color w:val="B8371F"/>
          <w:spacing w:val="40"/>
          <w:sz w:val="16"/>
          <w:szCs w:val="16"/>
        </w:rPr>
        <w:t xml:space="preserve">DEFINITION</w:t>
      </w:r>
    </w:p>
    <w:p>
      <w:pPr>
        <w:spacing w:after="100"/>
        <w:ind w:left="0"/>
      </w:pPr>
      <w:r>
        <w:rPr>
          <w:color w:val="0D1220"/>
          <w:sz w:val="20"/>
          <w:szCs w:val="20"/>
        </w:rPr>
        <w:t xml:space="preserve">Estimated aggregate leave usage (PTO, sick leave, FMLA where applicable) tied to family court obligations, derived from employer survey data and court scheduling records.</w:t>
      </w:r>
    </w:p>
    <w:p>
      <w:pPr>
        <w:spacing w:after="20" w:before="80"/>
      </w:pPr>
      <w:r>
        <w:rPr>
          <w:b/>
          <w:bCs/>
          <w:color w:val="B8371F"/>
          <w:spacing w:val="40"/>
          <w:sz w:val="16"/>
          <w:szCs w:val="16"/>
        </w:rPr>
        <w:t xml:space="preserve">NUMERATOR</w:t>
      </w:r>
    </w:p>
    <w:p>
      <w:pPr>
        <w:spacing w:after="100"/>
        <w:ind w:left="0"/>
      </w:pPr>
      <w:r>
        <w:rPr>
          <w:color w:val="0D1220"/>
          <w:sz w:val="20"/>
          <w:szCs w:val="20"/>
        </w:rPr>
        <w:t xml:space="preserve">Estimated leave hours</w:t>
      </w:r>
    </w:p>
    <w:p>
      <w:pPr>
        <w:spacing w:after="20" w:before="80"/>
      </w:pPr>
      <w:r>
        <w:rPr>
          <w:b/>
          <w:bCs/>
          <w:color w:val="B8371F"/>
          <w:spacing w:val="40"/>
          <w:sz w:val="16"/>
          <w:szCs w:val="16"/>
        </w:rPr>
        <w:t xml:space="preserve">DENOMINATOR</w:t>
      </w:r>
    </w:p>
    <w:p>
      <w:pPr>
        <w:spacing w:after="100"/>
        <w:ind w:left="0"/>
      </w:pPr>
      <w:r>
        <w:rPr>
          <w:color w:val="0D1220"/>
          <w:sz w:val="20"/>
          <w:szCs w:val="20"/>
        </w:rPr>
        <w:t xml:space="preserve">Worker person-hours in the period</w:t>
      </w:r>
    </w:p>
    <w:p>
      <w:pPr>
        <w:spacing w:after="20" w:before="80"/>
      </w:pPr>
      <w:r>
        <w:rPr>
          <w:b/>
          <w:bCs/>
          <w:color w:val="B8371F"/>
          <w:spacing w:val="40"/>
          <w:sz w:val="16"/>
          <w:szCs w:val="16"/>
        </w:rPr>
        <w:t xml:space="preserve">PERIOD</w:t>
      </w:r>
    </w:p>
    <w:p>
      <w:pPr>
        <w:spacing w:after="100"/>
        <w:ind w:left="0"/>
      </w:pPr>
      <w:r>
        <w:rPr>
          <w:color w:val="0D1220"/>
          <w:sz w:val="20"/>
          <w:szCs w:val="20"/>
        </w:rPr>
        <w:t xml:space="preserve">Annual</w:t>
      </w:r>
    </w:p>
    <w:p>
      <w:pPr>
        <w:spacing w:after="20" w:before="80"/>
      </w:pPr>
      <w:r>
        <w:rPr>
          <w:b/>
          <w:bCs/>
          <w:color w:val="B8371F"/>
          <w:spacing w:val="40"/>
          <w:sz w:val="16"/>
          <w:szCs w:val="16"/>
        </w:rPr>
        <w:t xml:space="preserve">SOURCE</w:t>
      </w:r>
    </w:p>
    <w:p>
      <w:pPr>
        <w:spacing w:after="100"/>
        <w:ind w:left="0"/>
      </w:pPr>
      <w:r>
        <w:rPr>
          <w:color w:val="0D1220"/>
          <w:sz w:val="20"/>
          <w:szCs w:val="20"/>
        </w:rPr>
        <w:t xml:space="preserve">Employer survey data plus OSCA court scheduling data</w:t>
      </w:r>
    </w:p>
    <w:p>
      <w:pPr>
        <w:spacing w:after="20" w:before="80"/>
      </w:pPr>
      <w:r>
        <w:rPr>
          <w:b/>
          <w:bCs/>
          <w:color w:val="B8371F"/>
          <w:spacing w:val="40"/>
          <w:sz w:val="16"/>
          <w:szCs w:val="16"/>
        </w:rPr>
        <w:t xml:space="preserve">INCLUSION</w:t>
      </w:r>
    </w:p>
    <w:p>
      <w:pPr>
        <w:spacing w:after="100"/>
        <w:ind w:left="0"/>
      </w:pPr>
      <w:r>
        <w:rPr>
          <w:color w:val="0D1220"/>
          <w:sz w:val="20"/>
          <w:szCs w:val="20"/>
        </w:rPr>
        <w:t xml:space="preserve">Missouri-employed parties to family court cases</w:t>
      </w:r>
    </w:p>
    <w:p>
      <w:pPr>
        <w:spacing w:after="20" w:before="80"/>
      </w:pPr>
      <w:r>
        <w:rPr>
          <w:b/>
          <w:bCs/>
          <w:color w:val="B8371F"/>
          <w:spacing w:val="40"/>
          <w:sz w:val="16"/>
          <w:szCs w:val="16"/>
        </w:rPr>
        <w:t xml:space="preserve">EXCLUSION</w:t>
      </w:r>
    </w:p>
    <w:p>
      <w:pPr>
        <w:spacing w:after="100"/>
        <w:ind w:left="0"/>
      </w:pPr>
      <w:r>
        <w:rPr>
          <w:color w:val="0D1220"/>
          <w:sz w:val="20"/>
          <w:szCs w:val="20"/>
        </w:rPr>
        <w:t xml:space="preserve">Self-employed, federal employees</w:t>
      </w:r>
    </w:p>
    <w:p>
      <w:pPr>
        <w:spacing w:after="20" w:before="80"/>
      </w:pPr>
      <w:r>
        <w:rPr>
          <w:b/>
          <w:bCs/>
          <w:color w:val="B8371F"/>
          <w:spacing w:val="40"/>
          <w:sz w:val="16"/>
          <w:szCs w:val="16"/>
        </w:rPr>
        <w:t xml:space="preserve">CONFOUNDERS</w:t>
      </w:r>
    </w:p>
    <w:p>
      <w:pPr>
        <w:spacing w:after="100"/>
        <w:ind w:left="0"/>
      </w:pPr>
      <w:r>
        <w:rPr>
          <w:color w:val="0D1220"/>
          <w:sz w:val="20"/>
          <w:szCs w:val="20"/>
        </w:rPr>
        <w:t xml:space="preserve">Survey response bias, employer leave policy variance</w:t>
      </w:r>
    </w:p>
    <w:p>
      <w:pPr>
        <w:spacing w:after="20" w:before="80"/>
      </w:pPr>
      <w:r>
        <w:rPr>
          <w:b/>
          <w:bCs/>
          <w:color w:val="B8371F"/>
          <w:spacing w:val="40"/>
          <w:sz w:val="16"/>
          <w:szCs w:val="16"/>
        </w:rPr>
        <w:t xml:space="preserve">MIN. SAMPLE</w:t>
      </w:r>
    </w:p>
    <w:p>
      <w:pPr>
        <w:spacing w:after="100"/>
        <w:ind w:left="0"/>
      </w:pPr>
      <w:r>
        <w:rPr>
          <w:color w:val="0D1220"/>
          <w:sz w:val="20"/>
          <w:szCs w:val="20"/>
        </w:rPr>
        <w:t xml:space="preserve">State-level with at least 50 participating employers</w:t>
      </w:r>
    </w:p>
    <w:p>
      <w:pPr>
        <w:spacing w:after="20" w:before="80"/>
      </w:pPr>
      <w:r>
        <w:rPr>
          <w:b/>
          <w:bCs/>
          <w:color w:val="B8371F"/>
          <w:spacing w:val="40"/>
          <w:sz w:val="16"/>
          <w:szCs w:val="16"/>
        </w:rPr>
        <w:t xml:space="preserve">PRIVACY</w:t>
      </w:r>
    </w:p>
    <w:p>
      <w:pPr>
        <w:spacing w:after="100"/>
        <w:ind w:left="0"/>
      </w:pPr>
      <w:r>
        <w:rPr>
          <w:color w:val="0D1220"/>
          <w:sz w:val="20"/>
          <w:szCs w:val="20"/>
        </w:rPr>
        <w:t xml:space="preserve">Aggregate only. k-anonymity threshold of 10. Differential privacy noise applied to small cells. No individual or case identifier ever leaves the pipeline.</w:t>
      </w:r>
    </w:p>
    <w:p>
      <w:pPr>
        <w:spacing w:after="20" w:before="80"/>
      </w:pPr>
      <w:r>
        <w:rPr>
          <w:b/>
          <w:bCs/>
          <w:color w:val="B8371F"/>
          <w:spacing w:val="40"/>
          <w:sz w:val="16"/>
          <w:szCs w:val="16"/>
        </w:rPr>
        <w:t xml:space="preserve">REFORM VALUE</w:t>
      </w:r>
    </w:p>
    <w:p>
      <w:pPr>
        <w:spacing w:after="100"/>
        <w:ind w:left="0"/>
      </w:pPr>
      <w:r>
        <w:rPr>
          <w:color w:val="0D1220"/>
          <w:sz w:val="20"/>
          <w:szCs w:val="20"/>
        </w:rPr>
        <w:t xml:space="preserve">Quantifies private-sector economic impact. Supports reform coalition building with business community.</w:t>
      </w:r>
    </w:p>
    <w:p>
      <w:pPr>
        <w:spacing w:after="20" w:before="80"/>
      </w:pPr>
      <w:r>
        <w:rPr>
          <w:b/>
          <w:bCs/>
          <w:color w:val="B8371F"/>
          <w:spacing w:val="40"/>
          <w:sz w:val="16"/>
          <w:szCs w:val="16"/>
        </w:rPr>
        <w:t xml:space="preserve">REFRESH</w:t>
      </w:r>
    </w:p>
    <w:p>
      <w:pPr>
        <w:spacing w:after="100"/>
        <w:ind w:left="0"/>
      </w:pPr>
      <w:r>
        <w:rPr>
          <w:color w:val="0D1220"/>
          <w:sz w:val="20"/>
          <w:szCs w:val="20"/>
        </w:rPr>
        <w:t xml:space="preserve">Annual</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HANDBOOK STATUS</w:t>
      </w:r>
    </w:p>
    <w:p>
      <w:pPr>
        <w:pStyle w:val="Heading1"/>
      </w:pPr>
      <w:r>
        <w:t xml:space="preserve">Versioning and Maintenance</w:t>
      </w:r>
    </w:p>
    <w:p>
      <w:pPr>
        <w:spacing w:after="160"/>
      </w:pPr>
      <w:r>
        <w:t xml:space="preserve">This Handbook reflects the Family Court Metric Catalog as of v0.3 (2026). Every metric specification carries a version number in the production system; this document is a static snapshot. The authoritative source is the public methodology repository at github.com/cotrackpro/family-court-metric-catalog.</w:t>
      </w:r>
    </w:p>
    <w:p>
      <w:pPr>
        <w:spacing w:after="160"/>
      </w:pPr>
      <w:r>
        <w:t xml:space="preserve">Updates to this Handbook follow the Metric Adoption Workflow (Document 09). Patch changes (clarifications, typos) are made by staff with notice to the Methodology Board. Minor changes (thresholds, confidence-interval methodology) require Board notice and a 30-day comment period. Major changes (disclosure tier shifts, fundamental redefinitions) require the full adoption workflow.</w:t>
      </w:r>
    </w:p>
    <w:p>
      <w:pPr>
        <w:spacing w:after="160"/>
      </w:pPr>
      <w:r>
        <w:t xml:space="preserve">The next scheduled Handbook revision is at the Year 1 Methodology Board retreat, approximately 12 months after pilot launch. Interim revisions may occur if any Data Ethics Review finding requires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19 · METHODOLOGY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2026-04-20T22:08:31.391Z</dcterms:created>
  <dcterms:modified xsi:type="dcterms:W3CDTF">2026-04-20T22:08:31.392Z</dcterms:modified>
</cp:coreProperties>
</file>

<file path=docProps/custom.xml><?xml version="1.0" encoding="utf-8"?>
<Properties xmlns="http://schemas.openxmlformats.org/officeDocument/2006/custom-properties" xmlns:vt="http://schemas.openxmlformats.org/officeDocument/2006/docPropsVTypes"/>
</file>