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1220" w:val="clear"/>
        <w:spacing w:after="60"/>
        <w:ind w:left="120" w:right="120"/>
      </w:pPr>
      <w:r>
        <w:rPr>
          <w:b/>
          <w:bCs/>
          <w:color w:val="FFFFFF"/>
          <w:spacing w:val="80"/>
          <w:sz w:val="16"/>
          <w:szCs w:val="16"/>
        </w:rPr>
        <w:t xml:space="preserve">BENCH CARD</w:t>
      </w:r>
    </w:p>
    <w:p>
      <w:pPr>
        <w:spacing w:after="40" w:before="180"/>
      </w:pPr>
      <w:r>
        <w:rPr>
          <w:b/>
          <w:bCs/>
          <w:color w:val="B8371F"/>
          <w:spacing w:val="60"/>
          <w:sz w:val="20"/>
          <w:szCs w:val="20"/>
        </w:rPr>
        <w:t xml:space="preserve">FAMILY COURT METRIC CATALOG</w:t>
      </w:r>
    </w:p>
    <w:p>
      <w:pPr>
        <w:spacing w:after="200"/>
      </w:pPr>
      <w:r>
        <w:rPr>
          <w:b/>
          <w:bCs/>
          <w:color w:val="0D1220"/>
          <w:sz w:val="38"/>
          <w:szCs w:val="38"/>
        </w:rPr>
        <w:t xml:space="preserve">Judicial Reference</w:t>
      </w:r>
    </w:p>
    <w:p>
      <w:pPr>
        <w:spacing w:after="240"/>
      </w:pPr>
      <w:r>
        <w:rPr>
          <w:color w:val="1F2744"/>
          <w:sz w:val="22"/>
          <w:szCs w:val="22"/>
        </w:rPr>
        <w:t xml:space="preserve">What the Catalog is. What it is not. How to use it.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6840"/>
      </w:tblGrid>
      <w:tr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5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pacing w:val="40"/>
                <w:sz w:val="20"/>
                <w:szCs w:val="20"/>
              </w:rPr>
              <w:t xml:space="preserve">WHAT THE CATALOG IS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371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pacing w:val="40"/>
                <w:sz w:val="20"/>
                <w:szCs w:val="20"/>
              </w:rPr>
              <w:t xml:space="preserve">WHAT THE CATALOG IS NOT</w:t>
            </w:r>
          </w:p>
        </w:tc>
      </w:tr>
      <w:tr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• Aggregate circuit-level metrics published with methodology, sample size, and confidence intervals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• A private dashboard available to you for self-assessment, never shared beyond your presiding judge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• Governance with stakeholder balance (11-seat Methodology Board, 5-member Data Ethics Review)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• Bilateral measurement — anything measuring compliance or violations measures both directions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• Privacy-by-architecture: k-anonymity ≥10, differential privacy, quarterly adversarial testing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• Voluntary participation under MOU with a 90-day termination clause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• A judicial scorecard, ranking, or performance rating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• Admissible in individual cases (draft statutory shield; see Doc 05)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• A public record of any individual ruling, party, or case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• A tool for retention campaigns or judicial discipline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• A policy-advocacy organization or adversarial project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• A source of individual-judge data for any external audience</w:t>
            </w:r>
          </w:p>
        </w:tc>
      </w:tr>
    </w:tbl>
    <w:p>
      <w:pPr>
        <w:pBdr>
          <w:top w:val="single" w:color="0D1220" w:sz="6" w:space="6"/>
        </w:pBdr>
        <w:spacing w:after="60" w:before="300"/>
      </w:pPr>
      <w:r>
        <w:rPr>
          <w:b/>
          <w:bCs/>
          <w:color w:val="555046"/>
          <w:sz w:val="18"/>
          <w:szCs w:val="18"/>
        </w:rPr>
        <w:t xml:space="preserve">Questions: </w:t>
      </w:r>
      <w:r>
        <w:rPr>
          <w:color w:val="0D1220"/>
          <w:sz w:val="18"/>
          <w:szCs w:val="18"/>
        </w:rPr>
        <w:t xml:space="preserve">Methodology Coordinator · [contact TBD] · Response SLA: 2 business days</w:t>
      </w:r>
    </w:p>
    <w:p>
      <w:pPr>
        <w:spacing w:after="0"/>
      </w:pPr>
      <w:r>
        <w:rPr>
          <w:i w:val="false"/>
          <w:iCs w:val="false"/>
          <w:color w:val="555046"/>
          <w:sz w:val="16"/>
          <w:szCs w:val="16"/>
        </w:rPr>
        <w:t xml:space="preserve">Version 0.3 · 2026 · A CoTrackPro Civic Publication · Turn card over for disclosure tiers and protections</w:t>
      </w:r>
    </w:p>
    <w:p>
      <w:r>
        <w:br w:type="page"/>
      </w:r>
    </w:p>
    <w:p>
      <w:pPr>
        <w:shd w:fill="0D1220" w:val="clear"/>
        <w:spacing w:after="60"/>
        <w:ind w:left="120" w:right="120"/>
      </w:pPr>
      <w:r>
        <w:rPr>
          <w:b/>
          <w:bCs/>
          <w:color w:val="FFFFFF"/>
          <w:spacing w:val="80"/>
          <w:sz w:val="16"/>
          <w:szCs w:val="16"/>
        </w:rPr>
        <w:t xml:space="preserve">BENCH CARD · REVERSE</w:t>
      </w:r>
    </w:p>
    <w:p>
      <w:pPr>
        <w:spacing w:after="40" w:before="180"/>
      </w:pPr>
      <w:r>
        <w:rPr>
          <w:b/>
          <w:bCs/>
          <w:color w:val="B8371F"/>
          <w:spacing w:val="60"/>
          <w:sz w:val="20"/>
          <w:szCs w:val="20"/>
        </w:rPr>
        <w:t xml:space="preserve">DISCLOSURE TIERS</w:t>
      </w:r>
    </w:p>
    <w:p>
      <w:pPr>
        <w:spacing w:after="160"/>
      </w:pPr>
      <w:r>
        <w:rPr>
          <w:color w:val="1F2744"/>
          <w:sz w:val="20"/>
          <w:szCs w:val="20"/>
        </w:rPr>
        <w:t xml:space="preserve">Every metric carries exactly one tier.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008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NAME</w:t>
            </w:r>
          </w:p>
        </w:tc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WHO CAN SEE IT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0D1220"/>
                <w:sz w:val="28"/>
                <w:szCs w:val="28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D1220"/>
                <w:sz w:val="22"/>
                <w:szCs w:val="22"/>
              </w:rPr>
              <w:t xml:space="preserve">Public</w:t>
            </w:r>
          </w:p>
        </w:tc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color w:val="0D1220"/>
                <w:sz w:val="20"/>
                <w:szCs w:val="20"/>
              </w:rPr>
              <w:t xml:space="preserve">Aggregate, de-identified. Published via public API. k-anonymity ≥10. Includes most operational metrics (clearance rate, time-to-disposition, filing volumes).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0D1220"/>
                <w:sz w:val="28"/>
                <w:szCs w:val="28"/>
              </w:rPr>
              <w:t xml:space="preserve">B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D1220"/>
                <w:sz w:val="22"/>
                <w:szCs w:val="22"/>
              </w:rPr>
              <w:t xml:space="preserve">Oversight / DUA</w:t>
            </w:r>
          </w:p>
        </w:tc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color w:val="0D1220"/>
                <w:sz w:val="20"/>
                <w:szCs w:val="20"/>
              </w:rPr>
              <w:t xml:space="preserve">De-identified but gated. Includes your private judicial dashboard. Academic research via IRB + DUA. Every query audit-logged.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0D1220"/>
                <w:sz w:val="28"/>
                <w:szCs w:val="28"/>
              </w:rPr>
              <w:t xml:space="preserve">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D1220"/>
                <w:sz w:val="22"/>
                <w:szCs w:val="22"/>
              </w:rPr>
              <w:t xml:space="preserve">User-Owned</w:t>
            </w:r>
          </w:p>
        </w:tc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color w:val="0D1220"/>
                <w:sz w:val="20"/>
                <w:szCs w:val="20"/>
              </w:rPr>
              <w:t xml:space="preserve">Data stays in the user account. Only opt-in aggregates leave. Users can withdraw at any time. Includes parenting-time compliance, conflict intensity.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F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0D1220"/>
                <w:sz w:val="28"/>
                <w:szCs w:val="28"/>
              </w:rPr>
              <w:t xml:space="preserve">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0D1220"/>
                <w:sz w:val="22"/>
                <w:szCs w:val="22"/>
              </w:rPr>
              <w:t xml:space="preserve">Never Disclosed</w:t>
            </w:r>
          </w:p>
        </w:tc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color w:val="0D1220"/>
                <w:sz w:val="20"/>
                <w:szCs w:val="20"/>
              </w:rPr>
              <w:t xml:space="preserve">Protected by statute or irreversible harm potential. Retention limited to operational necessity. No research pathway.</w:t>
            </w:r>
          </w:p>
        </w:tc>
      </w:tr>
    </w:tbl>
    <w:p>
      <w:pPr>
        <w:spacing w:after="40" w:before="260"/>
      </w:pPr>
      <w:r>
        <w:rPr>
          <w:b/>
          <w:bCs/>
          <w:color w:val="B8371F"/>
          <w:spacing w:val="60"/>
          <w:sz w:val="20"/>
          <w:szCs w:val="20"/>
        </w:rPr>
        <w:t xml:space="preserve">JUDICIAL PROTECTIONS (Read Before Concern)</w:t>
      </w:r>
    </w:p>
    <w:p>
      <w:pPr>
        <w:pBdr>
          <w:left w:val="single" w:color="0D1220" w:sz="24" w:space="12"/>
        </w:pBdr>
        <w:shd w:fill="F5EFE5" w:val="clear"/>
        <w:spacing w:after="80" w:before="80"/>
        <w:ind w:left="360" w:right="240"/>
      </w:pPr>
      <w:r>
        <w:rPr>
          <w:color w:val="0D1220"/>
          <w:sz w:val="20"/>
          <w:szCs w:val="20"/>
        </w:rPr>
        <w:t xml:space="preserve">No public data at your name. Individual-judge metrics are Tier B — returned only to you and your presiding judge. The Methodology Board includes retired judges and operates under explicit judicial-independence principles. The MOU contains a 90-day termination clause; you retain institutional opt-out.</w:t>
      </w:r>
    </w:p>
    <w:p>
      <w:pPr>
        <w:spacing w:after="40" w:before="260"/>
      </w:pPr>
      <w:r>
        <w:rPr>
          <w:b/>
          <w:bCs/>
          <w:color w:val="B8371F"/>
          <w:spacing w:val="60"/>
          <w:sz w:val="20"/>
          <w:szCs w:val="20"/>
        </w:rPr>
        <w:t xml:space="preserve">TO START USING THE CATALOG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Request private-dashboard login via your presiding judge's office.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Review the Methodology Primer (Doc 19 of the binder, or the online equivalent).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Call the Methodology Coordinator for a 30-minute walkthrough (optional; most judges skip).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sz w:val="20"/>
          <w:szCs w:val="20"/>
        </w:rPr>
        <w:t xml:space="preserve">Your first quarterly dashboard arrives at the end of the next reporting quarter.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D12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D122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D12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2026-04-20T23:21:24.484Z</dcterms:created>
  <dcterms:modified xsi:type="dcterms:W3CDTF">2026-04-20T23:21:24.484Z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