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b/>
          <w:bCs/>
          <w:color w:val="B8371F"/>
          <w:spacing w:val="60"/>
          <w:sz w:val="18"/>
          <w:szCs w:val="18"/>
        </w:rPr>
        <w:t xml:space="preserve">DOCUMENT SPEC-03</w:t>
      </w:r>
    </w:p>
    <w:p>
      <w:pPr>
        <w:spacing w:after="80"/>
      </w:pPr>
      <w:r>
        <w:rPr>
          <w:b/>
          <w:bCs/>
          <w:color w:val="1F2744"/>
          <w:spacing w:val="40"/>
          <w:sz w:val="22"/>
          <w:szCs w:val="22"/>
        </w:rPr>
        <w:t xml:space="preserve">THE FAMILY COURT METRIC CATALOG</w:t>
      </w:r>
    </w:p>
    <w:p>
      <w:pPr>
        <w:spacing w:after="40"/>
      </w:pPr>
      <w:r>
        <w:rPr>
          <w:b/>
          <w:bCs/>
          <w:color w:val="0D1220"/>
          <w:sz w:val="52"/>
          <w:szCs w:val="52"/>
        </w:rPr>
        <w:t xml:space="preserve">Attorney CLE</w:t>
      </w:r>
    </w:p>
    <w:p>
      <w:pPr>
        <w:spacing w:after="240"/>
      </w:pPr>
      <w:r>
        <w:rPr>
          <w:b/>
          <w:bCs/>
          <w:color w:val="0D1220"/>
          <w:sz w:val="52"/>
          <w:szCs w:val="52"/>
        </w:rPr>
        <w:t xml:space="preserve">Module Outline</w:t>
      </w:r>
    </w:p>
    <w:p>
      <w:pPr>
        <w:spacing w:after="400"/>
      </w:pPr>
      <w:r>
        <w:rPr>
          <w:color w:val="1F2744"/>
          <w:sz w:val="26"/>
          <w:szCs w:val="26"/>
        </w:rPr>
        <w:t xml:space="preserve">Course outline for a 1.5-hour self-study CLE module qualifying for Missouri general credit. Adoption Roadmap initiative #6.</w:t>
      </w:r>
    </w:p>
    <w:p>
      <w:pPr>
        <w:pBdr>
          <w:bottom w:val="single" w:color="0D1220" w:sz="6" w:space="1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color w:val="555046"/>
          <w:spacing w:val="40"/>
          <w:sz w:val="16"/>
          <w:szCs w:val="16"/>
        </w:rPr>
        <w:t xml:space="preserve">PREPARED FOR</w:t>
      </w:r>
    </w:p>
    <w:p>
      <w:pPr>
        <w:spacing w:after="120"/>
      </w:pPr>
      <w:r>
        <w:rPr>
          <w:color w:val="0D1220"/>
          <w:sz w:val="24"/>
          <w:szCs w:val="24"/>
        </w:rPr>
        <w:t xml:space="preserve">Missouri Bar CLE · Course Development</w:t>
      </w:r>
    </w:p>
    <w:p>
      <w:pPr>
        <w:spacing w:before="400"/>
      </w:pPr>
      <w:r>
        <w:rPr>
          <w:b/>
          <w:bCs/>
          <w:color w:val="555046"/>
          <w:spacing w:val="30"/>
          <w:sz w:val="18"/>
          <w:szCs w:val="18"/>
        </w:rPr>
        <w:t xml:space="preserve">Missouri Pilot · Version 0.3 · 2026</w:t>
      </w:r>
    </w:p>
    <w:p>
      <w:pPr>
        <w:spacing w:after="40"/>
      </w:pPr>
      <w:r>
        <w:rPr>
          <w:color w:val="555046"/>
          <w:sz w:val="18"/>
          <w:szCs w:val="18"/>
        </w:rPr>
        <w:t xml:space="preserve">A CoTrackPro Civic Publication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COURSE METADATA</w:t>
      </w:r>
    </w:p>
    <w:p>
      <w:pPr>
        <w:pStyle w:val="Heading1"/>
      </w:pPr>
      <w:r>
        <w:t xml:space="preserve">Registration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Course title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Using the Family Court Metric Catalog in Missouri Practice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Self-study video with post-test (online, on-demand)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Credit requested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1.5 general CLE hours (Missouri)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Ethics component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Optional 0.5-hour ethics add-on (competent representation, aggregate data)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Missouri-licensed attorneys with family law in their practice; paralegals welcome (no credit)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None. Assumes general family court practice familiarity.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Free to participants. Bar dues or sponsor-funded via adoption budget.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Accreditation body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Missouri Bar Association CLE (pending review)</w:t>
            </w:r>
          </w:p>
        </w:tc>
      </w:tr>
    </w:tbl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LEARNING OBJECTIVES</w:t>
      </w:r>
    </w:p>
    <w:p>
      <w:pPr>
        <w:pStyle w:val="Heading1"/>
      </w:pPr>
      <w:r>
        <w:t xml:space="preserve">What Participants Will Be Able to 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the three visibility layers (Visible · Hidden · Missing) and four disclosure tiers (A · B · C · D) of the Family Court Metric Catalog, and give an example metric for each combination.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Case Planning Calculator to generate realistic duration and outcome expectations for a family court case of a given type in a given Missouri circuit.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Cite a Catalog metric correctly in a brief, motion, or client memorandum, with proper methodology version and as-of 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Recognize the bilateral-measurement principle and explain why one-sided metrics are architecturally excluded from the Catalog.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Distinguish between defensible citation of aggregate data and improper adversarial use of a party's own Tier C data in litigation.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at least three confounders that attorneys and clients should be cautioned about when interpreting Catalog metrics.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MODULE STRUCTURE</w:t>
      </w:r>
    </w:p>
    <w:p>
      <w:pPr>
        <w:pStyle w:val="Heading1"/>
      </w:pPr>
      <w:r>
        <w:t xml:space="preserve">Six Segments, 1.5 Hours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1600"/>
        <w:gridCol w:w="2560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§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DURATION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Why the Catalog Exists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Video + voice-over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The Three-Layer × Four-Tier Architecture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Video with examples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Bilateral Measurement and Why It Matters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Case-study walkthrough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The Case Planning Calculator Demo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Screen recording + narration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Citing Catalog Data in Practice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Worked example · motion practice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Confounders and Misinterpretation Risks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Q&amp;A style with methodology staff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 (opt)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Ethics Considerations (0.5 hr add-on)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Separate module for ethics credit</w:t>
            </w:r>
          </w:p>
        </w:tc>
      </w:tr>
    </w:tbl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§1 CONTENT</w:t>
      </w:r>
    </w:p>
    <w:p>
      <w:pPr>
        <w:pStyle w:val="Heading2"/>
      </w:pPr>
      <w:r>
        <w:t xml:space="preserve">Why the Catalog Exists</w:t>
      </w:r>
    </w:p>
    <w:p>
      <w:pPr>
        <w:spacing w:after="160"/>
      </w:pPr>
      <w:r>
        <w:t xml:space="preserve">Opens with a practical anecdote: an attorney in a dissolution-with-children case estimating a six-month timeline for the client, when the Catalog data shows median 11 months for contested custody in that circuit. The anecdote establishes that Catalog data addresses a real practice problem, not an academic question.</w:t>
      </w:r>
    </w:p>
    <w:p>
      <w:pPr>
        <w:spacing w:after="160"/>
      </w:pPr>
      <w:r>
        <w:t xml:space="preserve">Covers: the three visibility failures (efficiency theater, accountability risk, missing truth layer), the role-based organization (14 roles, including Attorney), and the framework's non-goals (judicial scorecard, individual performance rating, adversarial tool).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§2 CONTENT</w:t>
      </w:r>
    </w:p>
    <w:p>
      <w:pPr>
        <w:pStyle w:val="Heading2"/>
      </w:pPr>
      <w:r>
        <w:t xml:space="preserve">Three-Layer × Four-Tier Architecture</w:t>
      </w:r>
    </w:p>
    <w:p>
      <w:pPr>
        <w:spacing w:after="160"/>
      </w:pPr>
      <w:r>
        <w:t xml:space="preserve">Walks through a concrete metric in each quadrant: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Visible · Tier A: Clearance rate by circuit. Available today via the public dashboard.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Hidden · Tier A: Motion grant rates by type. Data exists; publication requires governance.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Missing · Tier C: Parenting time compliance rate. Requires user-generated data from platforms like CoTrackPro.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Any · Tier D: Child wellbeing self-reports. Never individually disclosed.</w:t>
      </w:r>
    </w:p>
    <w:p>
      <w:pPr>
        <w:spacing w:after="160"/>
      </w:pPr>
      <w:r>
        <w:t xml:space="preserve">Concludes with a recognition test: participants are shown five metrics and asked to identify tier and visibility (answers displayed immediately).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§3 CONTENT</w:t>
      </w:r>
    </w:p>
    <w:p>
      <w:pPr>
        <w:pStyle w:val="Heading2"/>
      </w:pPr>
      <w:r>
        <w:t xml:space="preserve">Bilateral Measurement</w:t>
      </w:r>
    </w:p>
    <w:p>
      <w:pPr>
        <w:spacing w:after="160"/>
      </w:pPr>
      <w:r>
        <w:t xml:space="preserve">Explains the architectural principle that any metric touching on compliance, violations, or disparity must measure in both directions. Uses the Bilateral Violation Tracking metric (ad-bilateral) as the worked example.</w:t>
      </w:r>
    </w:p>
    <w:p>
      <w:pPr>
        <w:spacing w:after="160"/>
      </w:pPr>
      <w:r>
        <w:t xml:space="preserve">Hypothetical: A parent's attorney wants to use Catalog data showing county-level violation rates in a hearing. The segment explains why the Catalog's methodology prevents this specific use (no individual-case inferences from aggregate data) and what the appropriate use looks like (establishing neutral context in a policy or amicus context).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§4 CONTENT</w:t>
      </w:r>
    </w:p>
    <w:p>
      <w:pPr>
        <w:pStyle w:val="Heading2"/>
      </w:pPr>
      <w:r>
        <w:t xml:space="preserve">Case Planning Calculator Demo</w:t>
      </w:r>
    </w:p>
    <w:p>
      <w:pPr>
        <w:spacing w:after="160"/>
      </w:pPr>
      <w:r>
        <w:t xml:space="preserve">Screen recording walks through three realistic scenarios: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Scenario A: Pro-se parent researching whether to file. Focus on timeline expectations and cost bands.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Scenario B: Attorney first meeting with a client contemplating contested custody. Focus on resolution-mix distribution and representation effect.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Scenario C: Mediator preparing for a settlement conference. Focus on where the specific case sits in the duration distribution.</w:t>
      </w:r>
    </w:p>
    <w:p>
      <w:pPr>
        <w:spacing w:after="160"/>
      </w:pPr>
      <w:r>
        <w:t xml:space="preserve">Each scenario concludes with a one-page PDF export and a recommendation for how to use the output in the actual professional context.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§5 CONTENT</w:t>
      </w:r>
    </w:p>
    <w:p>
      <w:pPr>
        <w:pStyle w:val="Heading2"/>
      </w:pPr>
      <w:r>
        <w:t xml:space="preserve">Citing Catalog Data in Practice</w:t>
      </w:r>
    </w:p>
    <w:p>
      <w:pPr>
        <w:spacing w:after="160"/>
      </w:pPr>
      <w:r>
        <w:t xml:space="preserve">Worked example: drafting a memorandum in support of a motion for expedited disposition. The memorandum cites: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Tier A metric (median time-to-disposition) establishing that the case is already past circuit median.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Catalog methodology version and as-of date.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methodology-note-appropriate caveat about confounders.</w:t>
      </w:r>
    </w:p>
    <w:p>
      <w:pPr>
        <w:spacing w:after="160"/>
      </w:pPr>
      <w:r>
        <w:t xml:space="preserve">The segment provides a citation template attorneys can reuse and explicitly addresses common mistakes: citing stale methodology versions, failing to include sample size, and over-reading aggregate data as case-specific prediction.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§6 CONTENT</w:t>
      </w:r>
    </w:p>
    <w:p>
      <w:pPr>
        <w:pStyle w:val="Heading2"/>
      </w:pPr>
      <w:r>
        <w:t xml:space="preserve">Confounders and Misinterpretation Risks</w:t>
      </w:r>
    </w:p>
    <w:p>
      <w:pPr>
        <w:spacing w:after="160"/>
      </w:pPr>
      <w:r>
        <w:t xml:space="preserve">Five common misinterpretation risks, each with a worked example of what went wrong and what the correct interpretation would have been: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Selection bias (e.g., appellate reversal rates only cover appealed cases).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Regression to the mean (post-intervention metrics can appear improved without actual intervention effect).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Unmeasured case complexity (duration comparisons without complexity adjustment can mislead).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Aggregation paradoxes (Simpson's paradox applied to family court data).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Version drift (citing data from one methodology version as if it were computed under another).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OPTIONAL §7</w:t>
      </w:r>
    </w:p>
    <w:p>
      <w:pPr>
        <w:pStyle w:val="Heading2"/>
      </w:pPr>
      <w:r>
        <w:t xml:space="preserve">Ethics Considerations (0.5-Hour Add-On)</w:t>
      </w:r>
    </w:p>
    <w:p>
      <w:pPr>
        <w:spacing w:after="160"/>
      </w:pPr>
      <w:r>
        <w:t xml:space="preserve">Separate module qualifying for ethics credit. Covers: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Competent representation (Rule 1.1): when use of aggregate data is part of competent practice vs. when it is not required.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Candor toward the tribunal (Rule 3.3): how to represent Catalog metrics accurately to courts.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 communication (Rule 1.4): the obligation to explain what aggregate data can and cannot predict about the client's specific case.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Confidentiality (Rule 1.6): how Tier C user-owned data relates to attorney-client privilege when the client is a Catalog platform user.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POST-TEST</w:t>
      </w:r>
    </w:p>
    <w:p>
      <w:pPr>
        <w:pStyle w:val="Heading1"/>
      </w:pPr>
      <w:r>
        <w:t xml:space="preserve">Assessment</w:t>
      </w:r>
    </w:p>
    <w:p>
      <w:pPr>
        <w:spacing w:after="160"/>
      </w:pPr>
      <w:r>
        <w:t xml:space="preserve">A 15-question post-test with randomized question selection from a bank of 45. Passing threshold 80%. Unlimited retakes. Questions span all six segments proportionally. Sample questions: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Tier C metric: (a) is publicly available; (b) requires user opt-in; (c) is held by the Methodology Board; (d) is never disclosed. [Answer: b]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Catalog's bilateral measurement principle means that: (a) every metric compares parties to the mean; (b) any metric touching on violations or compliance measures both directions; (c) the Catalog reports only aggregate data; (d) all metrics use the same denominators. [Answer: b]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a brief citing a Catalog metric, you should include: (a) the methodology version and as-of date; (b) confidence intervals where applicable; (c) a note on known confounders; (d) all of the above. [Answer: d]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PRODUCTION</w:t>
      </w:r>
    </w:p>
    <w:p>
      <w:pPr>
        <w:pStyle w:val="Heading1"/>
      </w:pPr>
      <w:r>
        <w:t xml:space="preserve">Development Timeline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Weeks 1-2: Outline review by Missouri Bar CLE, Methodology Board, and three Advisory attorneys.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Weeks 3-6: Script development with feedback from a practice-diverse review panel (plaintiff-side, defense-side, low-income practice, academic).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Weeks 7-10: Recording, editing, and platform integration with the Missouri Bar CLE LMS.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Weeks 11-12: Accreditation review and certification.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 13: Launch.</w:t>
      </w:r>
    </w:p>
    <w:p>
      <w:pPr>
        <w:spacing w:after="160"/>
      </w:pPr>
      <w:r>
        <w:t xml:space="preserve">Total budget estimate: $24,000, inclusive of script, video production, accreditation fees, and first-year hosting. Funded via the Adoption budget line in the master pilot budget.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SUCCESS METRICS</w:t>
      </w:r>
    </w:p>
    <w:p>
      <w:pPr>
        <w:pStyle w:val="Heading1"/>
      </w:pPr>
      <w:r>
        <w:t xml:space="preserve">What We Measure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Registrations in first 12 months (target: 200).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Completion rate (target: 70% of registrants).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Post-test pass rate (target: 85% on first attempt).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Net promoter score among completers (target: +30 or higher).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Self-reported use of Catalog within 60 days of completion (target: 50% of completers).</w:t>
      </w:r>
    </w:p>
    <w:p>
      <w:pPr>
        <w:spacing w:after="160"/>
      </w:pPr>
      <w:r>
        <w:t xml:space="preserve">These metrics are reviewed semi-annually by the Adoption team and reported to the Board alongside operational metrics.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1220" w:sz="6" w:space="4"/>
      </w:pBdr>
      <w:tabs>
        <w:tab w:val="center" w:pos="4680"/>
        <w:tab w:val="right" w:pos="9026"/>
      </w:tabs>
    </w:pPr>
    <w:r>
      <w:rPr>
        <w:color w:val="555046"/>
        <w:sz w:val="16"/>
        <w:szCs w:val="16"/>
      </w:rPr>
      <w:t xml:space="preserve">A CoTrackPro Civic Publication</w:t>
    </w:r>
    <w:r>
      <w:t xml:space="preserve">	</w:t>
    </w:r>
    <w:r>
      <w:rPr>
        <w:color w:val="55504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t xml:space="preserve">	</w:t>
    </w:r>
    <w:r>
      <w:rPr>
        <w:color w:val="555046"/>
        <w:sz w:val="16"/>
        <w:szCs w:val="16"/>
      </w:rPr>
      <w:t xml:space="preserve">v0.3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220" w:sz="6" w:space="4"/>
      </w:pBdr>
      <w:tabs>
        <w:tab w:val="right" w:pos="9026"/>
      </w:tabs>
    </w:pPr>
    <w:r>
      <w:rPr>
        <w:b/>
        <w:bCs/>
        <w:color w:val="0D1220"/>
        <w:spacing w:val="30"/>
        <w:sz w:val="16"/>
        <w:szCs w:val="16"/>
      </w:rPr>
      <w:t xml:space="preserve">FAMILY COURT METRIC CATALOG</w:t>
    </w:r>
    <w:r>
      <w:t xml:space="preserve">	</w:t>
    </w:r>
    <w:r>
      <w:rPr>
        <w:color w:val="555046"/>
        <w:spacing w:val="20"/>
        <w:sz w:val="16"/>
        <w:szCs w:val="16"/>
      </w:rPr>
      <w:t xml:space="preserve">DOC SPEC-03 · CLE MODULE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12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12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2026-04-20T23:25:17.460Z</dcterms:created>
  <dcterms:modified xsi:type="dcterms:W3CDTF">2026-04-20T23:25:17.460Z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