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CC-01</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The Asymmetry</w:t>
      </w:r>
    </w:p>
    <w:p>
      <w:pPr>
        <w:spacing w:after="240"/>
      </w:pPr>
      <w:r>
        <w:rPr>
          <w:b/>
          <w:bCs/>
          <w:color w:val="0D1220"/>
          <w:sz w:val="52"/>
          <w:szCs w:val="52"/>
        </w:rPr>
        <w:t xml:space="preserve">Principle</w:t>
      </w:r>
    </w:p>
    <w:p>
      <w:pPr>
        <w:spacing w:after="400"/>
      </w:pPr>
      <w:r>
        <w:rPr>
          <w:color w:val="1F2744"/>
          <w:sz w:val="26"/>
          <w:szCs w:val="26"/>
        </w:rPr>
        <w:t xml:space="preserve">Why coercive control is not a more-severe form of high-conflict co-parenting, and why bilateral measurement is actively harmful when applied to it.</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Methodology Board · Data Ethics Review · Clinical Advisors · Survivor Advocacy Partners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This document proposes framing and methodology for the Catalog's treatment of coercive control and manufactured conflict. It is a technical draft prepared by a product author who is not a coercive-control clinician or a survivor advocate. Before any content here becomes operational, it requires review and revision by: (1) the Missouri Coalition Against Domestic and Sexual Violence or an equivalent advocacy partner, (2) a licensed clinician with coercive-control expertise, and (3) a survivor-led review panel. Treat as conversation material, not as adopted methodology.</w:t>
      </w:r>
    </w:p>
    <w:p>
      <w:pPr>
        <w:spacing w:after="40" w:before="240"/>
      </w:pPr>
      <w:r>
        <w:rPr>
          <w:b/>
          <w:bCs/>
          <w:color w:val="B8371F"/>
          <w:spacing w:val="40"/>
          <w:sz w:val="18"/>
          <w:szCs w:val="18"/>
        </w:rPr>
        <w:t xml:space="preserve">WHY THIS DOCUMENT EXISTS</w:t>
      </w:r>
    </w:p>
    <w:p>
      <w:pPr>
        <w:pStyle w:val="Heading1"/>
      </w:pPr>
      <w:r>
        <w:t xml:space="preserve">A Foundational Choice</w:t>
      </w:r>
    </w:p>
    <w:p>
      <w:pPr>
        <w:spacing w:after="160"/>
      </w:pPr>
      <w:r>
        <w:t xml:space="preserve">The Family Court Metric Catalog is built on the Bilateral Measurement Principle: anything measuring compliance, violations, or interparty conduct must measure in both directions. That principle preserves neutrality between parents who are disputing parenting arrangements from roughly equivalent positions.</w:t>
      </w:r>
    </w:p>
    <w:p>
      <w:pPr>
        <w:spacing w:after="160"/>
      </w:pPr>
      <w:r>
        <w:t xml:space="preserve">Coercive control is not that. Coercive control is a pattern in which one parent systematically uses intimidation, isolation, economic control, legal system misuse, and threats to dominate and diminish the other parent. It is definitionally asymmetric. Applying the Bilateral Measurement Principle to a coercive-control pattern does not produce neutrality; it produces a measurement regime that makes the targeted parent's documentation of the pattern look like symmetrical "high conflict" — which is the exact outcome the controlling parent wants.</w:t>
      </w:r>
    </w:p>
    <w:p>
      <w:pPr>
        <w:spacing w:after="160"/>
      </w:pPr>
      <w:r>
        <w:t xml:space="preserve">This document establishes the Asymmetry Principle as a second governing principle of the Catalog, coordinate in weight with the Bilateral Measurement Principle. It governs when bilateral measurement applies and when it does not.</w:t>
      </w:r>
    </w:p>
    <w:p>
      <w:pPr>
        <w:spacing w:after="40" w:before="240"/>
      </w:pPr>
      <w:r>
        <w:rPr>
          <w:b/>
          <w:bCs/>
          <w:color w:val="B8371F"/>
          <w:spacing w:val="40"/>
          <w:sz w:val="18"/>
          <w:szCs w:val="18"/>
        </w:rPr>
        <w:t xml:space="preserve">THE PRINCIPLES IN TENSION</w:t>
      </w:r>
    </w:p>
    <w:p>
      <w:pPr>
        <w:pStyle w:val="Heading1"/>
      </w:pPr>
      <w:r>
        <w:t xml:space="preserve">Bilateral Measurement and Asymmetry, Side by Side</w:t>
      </w:r>
    </w:p>
    <w:p>
      <w:pPr>
        <w:spacing w:after="160"/>
      </w:pPr>
      <w:r>
        <w:t xml:space="preserve">The two principles are not contradictory. They govern different situations. The Asymmetry Principle determines which situation the Catalog is looking at; the Bilateral Measurement Principle governs measurement within situations where parents are situated equivalently.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
            </w:r>
          </w:p>
        </w:tc>
        <w:tc>
          <w:tcPr>
            <w:tcW w:type="dxa" w:w="368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BILATERAL MEASUREMENT PRINCIPLE</w:t>
            </w:r>
          </w:p>
        </w:tc>
        <w:tc>
          <w:tcPr>
            <w:tcW w:type="dxa" w:w="368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ASYMMETRY PRINCIPLE</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When it governs</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Disputes where both parents are situated equivalently in power, resources, and safety.</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Patterns where one parent is systematically dominated or endangered by the other.</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Measurement approach</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Measure every metric symmetrically in both directions. Neither parent's behavior is privileged in the measurement.</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Measure the pattern of one parent's conduct toward the other and any children. Do not generate a "mirror" metric for the targeted parent.</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Adversarial protection</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Evidentiary shield (draft RSMo § 452.317) applies to both parents equally.</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Evidentiary shield applies to the targeted parent's documentation; the controlling parent's behavior is the subject of documentation, not protected by it.</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Publication posture</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Aggregate metrics can be Tier A with standard protections.</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Default to Tier B or higher. Individual patterns are never published. Aggregates require the 25-petition floor applied to PO data.</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Risk of misapplication</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 the asymmetry in a coercive-control case; producing scores that look symmetric when they are not.</w:t>
            </w:r>
          </w:p>
        </w:tc>
        <w:tc>
          <w:tcPr>
            <w:tcW w:type="dxa" w:w="3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Applying the Asymmetry frame to an equivalently-situated high-conflict case; biasing the measurement against one parent.</w:t>
            </w:r>
          </w:p>
        </w:tc>
      </w:tr>
    </w:tbl>
    <w:p>
      <w:r>
        <w:br w:type="page"/>
      </w:r>
    </w:p>
    <w:p>
      <w:pPr>
        <w:spacing w:after="40" w:before="240"/>
      </w:pPr>
      <w:r>
        <w:rPr>
          <w:b/>
          <w:bCs/>
          <w:color w:val="B8371F"/>
          <w:spacing w:val="40"/>
          <w:sz w:val="18"/>
          <w:szCs w:val="18"/>
        </w:rPr>
        <w:t xml:space="preserve">SECTION 1</w:t>
      </w:r>
    </w:p>
    <w:p>
      <w:pPr>
        <w:pStyle w:val="Heading1"/>
      </w:pPr>
      <w:r>
        <w:t xml:space="preserve">What Coercive Control Is</w:t>
      </w:r>
    </w:p>
    <w:p>
      <w:pPr>
        <w:spacing w:after="160"/>
      </w:pPr>
      <w:r>
        <w:t xml:space="preserve">Evan Stark's 2007 work, building on decades of survivor-led research and advocacy, defines coercive control as a course of conduct in which one partner uses intimidation, isolation, degradation, and micro-regulation of daily life to dominate the other. Unlike episodic domestic violence — which is often what criminal-justice systems and aggregate case data capture — coercive control is continuous, cumulative, and often leaves few discrete incidents that would qualify as assault.</w:t>
      </w:r>
    </w:p>
    <w:p>
      <w:pPr>
        <w:spacing w:after="160"/>
      </w:pPr>
      <w:r>
        <w:t xml:space="preserve">Emma Katz's work on children in coercive-control contexts (2022) and Jennifer Hardesty's research on post-separation coercive control (multiple publications, 2015 onward) extend the frame to co-parenting after separation. Hardesty's research specifically demonstrates that a substantial portion of post-separation "high conflict" is in fact continued coercive control using the family court system as its new instrument.</w:t>
      </w:r>
    </w:p>
    <w:p>
      <w:pPr>
        <w:spacing w:after="160"/>
      </w:pPr>
      <w:r>
        <w:t xml:space="preserve">Four characteristics of coercive control are especially relevant to family court measurement:</w:t>
      </w:r>
    </w:p>
    <w:p>
      <w:pPr>
        <w:pStyle w:val="ListParagraph"/>
        <w:numPr>
          <w:ilvl w:val="0"/>
          <w:numId w:val="2"/>
        </w:numPr>
        <w:spacing w:after="80"/>
      </w:pPr>
      <w:r>
        <w:t xml:space="preserve">CONTINUITY — Coercive control is a pattern, not an event. Discrete-incident measurement systematically understates it.</w:t>
      </w:r>
    </w:p>
    <w:p>
      <w:pPr>
        <w:pStyle w:val="ListParagraph"/>
        <w:numPr>
          <w:ilvl w:val="0"/>
          <w:numId w:val="2"/>
        </w:numPr>
        <w:spacing w:after="80"/>
      </w:pPr>
      <w:r>
        <w:t xml:space="preserve">INVISIBILITY — Much of the coercive conduct is observable only in the targeted parent's testimony or documentation. Public records capture a small fraction.</w:t>
      </w:r>
    </w:p>
    <w:p>
      <w:pPr>
        <w:pStyle w:val="ListParagraph"/>
        <w:numPr>
          <w:ilvl w:val="0"/>
          <w:numId w:val="2"/>
        </w:numPr>
        <w:spacing w:after="80"/>
      </w:pPr>
      <w:r>
        <w:t xml:space="preserve">APPROPRIATION — Controlling parents often appropriate the language of coercive control to describe the targeted parent's protective behavior. This is a documented tactic, not a measurement failure.</w:t>
      </w:r>
    </w:p>
    <w:p>
      <w:pPr>
        <w:pStyle w:val="ListParagraph"/>
        <w:numPr>
          <w:ilvl w:val="0"/>
          <w:numId w:val="2"/>
        </w:numPr>
        <w:spacing w:after="80"/>
      </w:pPr>
      <w:r>
        <w:t xml:space="preserve">ASYMMETRY — The pattern is by definition one-directional. The targeted parent's responses (refusing contact, documenting the pattern, seeking legal remedies) are survival strategies, not symmetric conflict.</w:t>
      </w:r>
    </w:p>
    <w:p>
      <w:pPr>
        <w:spacing w:after="40" w:before="240"/>
      </w:pPr>
      <w:r>
        <w:rPr>
          <w:b/>
          <w:bCs/>
          <w:color w:val="B8371F"/>
          <w:spacing w:val="40"/>
          <w:sz w:val="18"/>
          <w:szCs w:val="18"/>
        </w:rPr>
        <w:t xml:space="preserve">SECTION 2</w:t>
      </w:r>
    </w:p>
    <w:p>
      <w:pPr>
        <w:pStyle w:val="Heading1"/>
      </w:pPr>
      <w:r>
        <w:t xml:space="preserve">Johnson's Typology</w:t>
      </w:r>
    </w:p>
    <w:p>
      <w:pPr>
        <w:spacing w:after="160"/>
      </w:pPr>
      <w:r>
        <w:t xml:space="preserve">Michael Johnson's 1995 typology (refined through 2008) distinguishes intimate partner violence patterns. The typology has been criticized and defended in specific ways since; for the Catalog's purposes it is most useful as a reminder that "conflict" is not a single phenomenon.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TYPE</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PATTERN</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DIRECTIONALITY</w:t>
            </w:r>
          </w:p>
        </w:tc>
        <w:tc>
          <w:tcPr>
            <w:tcW w:type="dxa" w:w="19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RELEVANCE TO CATALOG</w:t>
            </w:r>
          </w:p>
        </w:tc>
      </w:tr>
      <w:tr>
        <w:tc>
          <w:tcPr>
            <w:tcW w:type="dxa" w:w="2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Intimate terrorism</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Sustained coercive control with periodic violence</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Asymmetric</w:t>
            </w:r>
          </w:p>
        </w:tc>
        <w:tc>
          <w:tcPr>
            <w:tcW w:type="dxa" w:w="19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Apply Asymmetry Principle. Never measure bilaterally.</w:t>
            </w:r>
          </w:p>
        </w:tc>
      </w:tr>
      <w:tr>
        <w:tc>
          <w:tcPr>
            <w:tcW w:type="dxa" w:w="2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Situational couple violence</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Conflict-driven, episodic, mutual escalation</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Often bilateral</w:t>
            </w:r>
          </w:p>
        </w:tc>
        <w:tc>
          <w:tcPr>
            <w:tcW w:type="dxa" w:w="19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Bilateral measurement applies with care. High-conflict framing sometimes appropriate.</w:t>
            </w:r>
          </w:p>
        </w:tc>
      </w:tr>
      <w:tr>
        <w:tc>
          <w:tcPr>
            <w:tcW w:type="dxa" w:w="2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Violent resistance</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Target's defensive response to intimate terrorism</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Directional response</w:t>
            </w:r>
          </w:p>
        </w:tc>
        <w:tc>
          <w:tcPr>
            <w:tcW w:type="dxa" w:w="19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Do not measure as independent aggression. Treat as part of the asymmetric pattern.</w:t>
            </w:r>
          </w:p>
        </w:tc>
      </w:tr>
      <w:tr>
        <w:tc>
          <w:tcPr>
            <w:tcW w:type="dxa" w:w="2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Mutual violent control</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Both partners use controlling tactics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Bilateral but dangerous</w:t>
            </w:r>
          </w:p>
        </w:tc>
        <w:tc>
          <w:tcPr>
            <w:tcW w:type="dxa" w:w="19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Rare. Requires clinical assessment before any measurement is applied.</w:t>
            </w:r>
          </w:p>
        </w:tc>
      </w:tr>
    </w:tbl>
    <w:p>
      <w:pPr>
        <w:spacing w:after="160"/>
      </w:pPr>
      <w:r>
        <w:t xml:space="preserve">The critical point: situational couple violence and intimate terrorism look similar in aggregate case-file data. Distinguishing them requires direct assessment, which is why the Catalog's Asymmetry treatment relies on the Coercive Control Screening Protocol (Document CC-03) to identify which pattern is present before any metrics are applied.</w:t>
      </w:r>
    </w:p>
    <w:p>
      <w:r>
        <w:br w:type="page"/>
      </w:r>
    </w:p>
    <w:p>
      <w:pPr>
        <w:spacing w:after="40" w:before="240"/>
      </w:pPr>
      <w:r>
        <w:rPr>
          <w:b/>
          <w:bCs/>
          <w:color w:val="B8371F"/>
          <w:spacing w:val="40"/>
          <w:sz w:val="18"/>
          <w:szCs w:val="18"/>
        </w:rPr>
        <w:t xml:space="preserve">SECTION 3</w:t>
      </w:r>
    </w:p>
    <w:p>
      <w:pPr>
        <w:pStyle w:val="Heading1"/>
      </w:pPr>
      <w:r>
        <w:t xml:space="preserve">Why Bilateral Measurement Harms Targeted Parents</w:t>
      </w:r>
    </w:p>
    <w:p>
      <w:pPr>
        <w:spacing w:after="160"/>
      </w:pPr>
      <w:r>
        <w:t xml:space="preserve">If the Catalog measured coercive-control-adjacent conduct bilaterally, the following happens in the typical case:</w:t>
      </w:r>
    </w:p>
    <w:p>
      <w:pPr>
        <w:pStyle w:val="ListParagraph"/>
        <w:numPr>
          <w:ilvl w:val="0"/>
          <w:numId w:val="3"/>
        </w:numPr>
        <w:spacing w:after="80"/>
      </w:pPr>
      <w:r>
        <w:t xml:space="preserve">The targeted parent documents every incident because documentation is protective behavior.</w:t>
      </w:r>
    </w:p>
    <w:p>
      <w:pPr>
        <w:pStyle w:val="ListParagraph"/>
        <w:numPr>
          <w:ilvl w:val="0"/>
          <w:numId w:val="3"/>
        </w:numPr>
        <w:spacing w:after="80"/>
      </w:pPr>
      <w:r>
        <w:t xml:space="preserve">The controlling parent documents nothing because the pattern serves them.</w:t>
      </w:r>
    </w:p>
    <w:p>
      <w:pPr>
        <w:pStyle w:val="ListParagraph"/>
        <w:numPr>
          <w:ilvl w:val="0"/>
          <w:numId w:val="3"/>
        </w:numPr>
        <w:spacing w:after="80"/>
      </w:pPr>
      <w:r>
        <w:t xml:space="preserve">Aggregate metrics based on documentation count show the targeted parent as the more active "reporter" of conflict.</w:t>
      </w:r>
    </w:p>
    <w:p>
      <w:pPr>
        <w:pStyle w:val="ListParagraph"/>
        <w:numPr>
          <w:ilvl w:val="0"/>
          <w:numId w:val="3"/>
        </w:numPr>
        <w:spacing w:after="80"/>
      </w:pPr>
      <w:r>
        <w:t xml:space="preserve">In any adversarial use of the data, the targeted parent appears to be "more difficult."</w:t>
      </w:r>
    </w:p>
    <w:p>
      <w:pPr>
        <w:pStyle w:val="ListParagraph"/>
        <w:numPr>
          <w:ilvl w:val="0"/>
          <w:numId w:val="3"/>
        </w:numPr>
        <w:spacing w:after="80"/>
      </w:pPr>
      <w:r>
        <w:t xml:space="preserve">Court and agency actors trained to read bilateral metrics interpret the asymmetry as mutual high conflict.</w:t>
      </w:r>
    </w:p>
    <w:p>
      <w:pPr>
        <w:pStyle w:val="ListParagraph"/>
        <w:numPr>
          <w:ilvl w:val="0"/>
          <w:numId w:val="3"/>
        </w:numPr>
        <w:spacing w:after="80"/>
      </w:pPr>
      <w:r>
        <w:t xml:space="preserve">The targeted parent's protective behavior becomes evidence against them in custody, while the controlling parent's pattern remains invisible.</w:t>
      </w:r>
    </w:p>
    <w:p>
      <w:pPr>
        <w:spacing w:after="160"/>
      </w:pPr>
      <w:r>
        <w:t xml:space="preserve">This is not a hypothetical. It is the documented failure mode of every family-court data system that has tried to measure conflict without first screening for coercive control. The Asymmetry Principle exists specifically to prevent the Catalog from replicating this failure.</w:t>
      </w:r>
    </w:p>
    <w:p>
      <w:pPr>
        <w:spacing w:after="40" w:before="240"/>
      </w:pPr>
      <w:r>
        <w:rPr>
          <w:b/>
          <w:bCs/>
          <w:color w:val="B8371F"/>
          <w:spacing w:val="40"/>
          <w:sz w:val="18"/>
          <w:szCs w:val="18"/>
        </w:rPr>
        <w:t xml:space="preserve">SECTION 4</w:t>
      </w:r>
    </w:p>
    <w:p>
      <w:pPr>
        <w:pStyle w:val="Heading1"/>
      </w:pPr>
      <w:r>
        <w:t xml:space="preserve">How the Asymmetry Principle Operates</w:t>
      </w:r>
    </w:p>
    <w:p>
      <w:pPr>
        <w:pStyle w:val="Heading3"/>
      </w:pPr>
      <w:r>
        <w:t xml:space="preserve">4.1 Default Treatment</w:t>
      </w:r>
    </w:p>
    <w:p>
      <w:pPr>
        <w:spacing w:after="160"/>
      </w:pPr>
      <w:r>
        <w:t xml:space="preserve">Any new metric involving compliance, communication conflict, motion filing patterns, or procedural behavior must be reviewed by the Data Ethics Committee specifically for coercive-control implications before being assigned a disclosure tier. The review question is: "In a typical coercive-control case, which parent's behavior does this metric make more visible?" If the answer is "the targeted parent's protective behavior," the metric either requires restructuring or moves to Tier B or higher.</w:t>
      </w:r>
    </w:p>
    <w:p>
      <w:pPr>
        <w:pStyle w:val="Heading3"/>
      </w:pPr>
      <w:r>
        <w:t xml:space="preserve">4.2 Screening Gate</w:t>
      </w:r>
    </w:p>
    <w:p>
      <w:pPr>
        <w:spacing w:after="160"/>
      </w:pPr>
      <w:r>
        <w:t xml:space="preserve">Tier C metrics computed from user-generated data (CoTrackPro and comparable platforms) require that the user have completed the Coercive Control Screening (Document CC-03) before their data contributes to any aggregate. A user screened as "pattern present — targeted parent" contributes data to coercive-control-specific aggregates, not to general compliance aggregates. Data from a user screened as "pattern present — controlling parent" does not contribute to any aggregate; the user is offered resources and the product discussion (Document CC-05) governs product behavior.</w:t>
      </w:r>
    </w:p>
    <w:p>
      <w:pPr>
        <w:pStyle w:val="Heading3"/>
      </w:pPr>
      <w:r>
        <w:t xml:space="preserve">4.3 Bilateral Mirror Metrics Are Not Created</w:t>
      </w:r>
    </w:p>
    <w:p>
      <w:pPr>
        <w:spacing w:after="160"/>
      </w:pPr>
      <w:r>
        <w:t xml:space="preserve">The Catalog does not publish a "coercive control perpetration rate — by gender" metric as a counterpart to a victim-prevalence metric. This is a deliberate architectural choice. Bilateral-style publication of perpetration rates reliably produces advocacy distortion in both directions, and the Asymmetry Principle rules it out.</w:t>
      </w:r>
    </w:p>
    <w:p>
      <w:pPr>
        <w:pStyle w:val="Heading3"/>
      </w:pPr>
      <w:r>
        <w:t xml:space="preserve">4.4 When Bilateral Metrics Still Apply</w:t>
      </w:r>
    </w:p>
    <w:p>
      <w:pPr>
        <w:spacing w:after="160"/>
      </w:pPr>
      <w:r>
        <w:t xml:space="preserve">The Bilateral Measurement Principle continues to govern metrics where parents are situated equivalently: parenting time compliance (bilateral), child contact gap (bilateral), motion grant rates by party (bilateral), continuance frequency (bilateral). The Asymmetry Principle overrides only for metrics specifically targeting coercive-control and manufactured-conflict patterns, which are identified as such in the Methodology Handbook.</w:t>
      </w:r>
    </w:p>
    <w:p>
      <w:r>
        <w:br w:type="page"/>
      </w:r>
    </w:p>
    <w:p>
      <w:pPr>
        <w:spacing w:after="40" w:before="240"/>
      </w:pPr>
      <w:r>
        <w:rPr>
          <w:b/>
          <w:bCs/>
          <w:color w:val="B8371F"/>
          <w:spacing w:val="40"/>
          <w:sz w:val="18"/>
          <w:szCs w:val="18"/>
        </w:rPr>
        <w:t xml:space="preserve">SECTION 5</w:t>
      </w:r>
    </w:p>
    <w:p>
      <w:pPr>
        <w:pStyle w:val="Heading1"/>
      </w:pPr>
      <w:r>
        <w:t xml:space="preserve">Interaction with the Evidentiary Shield</w:t>
      </w:r>
    </w:p>
    <w:p>
      <w:pPr>
        <w:spacing w:after="160"/>
      </w:pPr>
      <w:r>
        <w:t xml:space="preserve">Draft RSMo § 452.317 (Binder Doc 05) provides that individual compliance data is inadmissible in proceedings without a party's express written consent. The shield is symmetric by drafting — it protects both parents equally.</w:t>
      </w:r>
    </w:p>
    <w:p>
      <w:pPr>
        <w:spacing w:after="160"/>
      </w:pPr>
      <w:r>
        <w:t xml:space="preserve">When the Asymmetry Principle applies, the shield remains symmetric in its letter but asymmetric in its effect. The targeted parent's documentation, which is protective behavior, is shielded from adversarial use against them. The controlling parent's behavior is not protected from being documented by the targeted parent in their own account; what is protected is the targeted parent's compliance with documentation routines from being characterized as "uncooperative."</w:t>
      </w:r>
    </w:p>
    <w:p>
      <w:pPr>
        <w:spacing w:after="160"/>
      </w:pPr>
      <w:r>
        <w:t xml:space="preserve">No change to the draft RSMo § 452.317 language is required for this to work. The Asymmetry Principle instead governs how the shield is operated: aggregate data from targeted parents is presented as "compliance under coercive-control conditions," which is its own category, not a mirror of the controlling parent's purported compliance.</w:t>
      </w:r>
    </w:p>
    <w:p>
      <w:pPr>
        <w:spacing w:after="40" w:before="240"/>
      </w:pPr>
      <w:r>
        <w:rPr>
          <w:b/>
          <w:bCs/>
          <w:color w:val="B8371F"/>
          <w:spacing w:val="40"/>
          <w:sz w:val="18"/>
          <w:szCs w:val="18"/>
        </w:rPr>
        <w:t xml:space="preserve">SECTION 6</w:t>
      </w:r>
    </w:p>
    <w:p>
      <w:pPr>
        <w:pStyle w:val="Heading1"/>
      </w:pPr>
      <w:r>
        <w:t xml:space="preserve">What This Does Not Claim</w:t>
      </w:r>
    </w:p>
    <w:p>
      <w:pPr>
        <w:spacing w:after="160"/>
      </w:pPr>
      <w:r>
        <w:t xml:space="preserve">The Asymmetry Principle does NOT claim:</w:t>
      </w:r>
    </w:p>
    <w:p>
      <w:pPr>
        <w:pStyle w:val="ListParagraph"/>
        <w:numPr>
          <w:ilvl w:val="0"/>
          <w:numId w:val="2"/>
        </w:numPr>
        <w:spacing w:after="80"/>
      </w:pPr>
      <w:r>
        <w:t xml:space="preserve">That any particular gender predominantly commits coercive control. Research is clear that it occurs across all configurations; the Catalog does not measure or publish gender breakdowns of perpetration.</w:t>
      </w:r>
    </w:p>
    <w:p>
      <w:pPr>
        <w:pStyle w:val="ListParagraph"/>
        <w:numPr>
          <w:ilvl w:val="0"/>
          <w:numId w:val="2"/>
        </w:numPr>
        <w:spacing w:after="80"/>
      </w:pPr>
      <w:r>
        <w:t xml:space="preserve">That high conflict is not real. Situational couple violence and non-violent high conflict exist and require bilateral treatment.</w:t>
      </w:r>
    </w:p>
    <w:p>
      <w:pPr>
        <w:pStyle w:val="ListParagraph"/>
        <w:numPr>
          <w:ilvl w:val="0"/>
          <w:numId w:val="2"/>
        </w:numPr>
        <w:spacing w:after="80"/>
      </w:pPr>
      <w:r>
        <w:t xml:space="preserve">That coercive control can be screened in aggregate data. Screening requires direct assessment (Document CC-03). The Catalog publishes only aggregates derived from cases already screened.</w:t>
      </w:r>
    </w:p>
    <w:p>
      <w:pPr>
        <w:pStyle w:val="ListParagraph"/>
        <w:numPr>
          <w:ilvl w:val="0"/>
          <w:numId w:val="2"/>
        </w:numPr>
        <w:spacing w:after="80"/>
      </w:pPr>
      <w:r>
        <w:t xml:space="preserve">That any court accusation of coercive control is accurate. Controlling parents sometimes accuse targeted parents; screening protocols and clinical assessment — not Catalog data — distinguish these cases.</w:t>
      </w:r>
    </w:p>
    <w:p>
      <w:pPr>
        <w:pStyle w:val="ListParagraph"/>
        <w:numPr>
          <w:ilvl w:val="0"/>
          <w:numId w:val="2"/>
        </w:numPr>
        <w:spacing w:after="80"/>
      </w:pPr>
      <w:r>
        <w:t xml:space="preserve">That measurement of coercive control will reduce it. The measurement is a precondition for accountability research; it is not itself an intervention.</w:t>
      </w:r>
    </w:p>
    <w:p>
      <w:pPr>
        <w:spacing w:after="40" w:before="240"/>
      </w:pPr>
      <w:r>
        <w:rPr>
          <w:b/>
          <w:bCs/>
          <w:color w:val="B8371F"/>
          <w:spacing w:val="40"/>
          <w:sz w:val="18"/>
          <w:szCs w:val="18"/>
        </w:rPr>
        <w:t xml:space="preserve">SECTION 7</w:t>
      </w:r>
    </w:p>
    <w:p>
      <w:pPr>
        <w:pStyle w:val="Heading1"/>
      </w:pPr>
      <w:r>
        <w:t xml:space="preserve">Review Cadence</w:t>
      </w:r>
    </w:p>
    <w:p>
      <w:pPr>
        <w:spacing w:after="160"/>
      </w:pPr>
      <w:r>
        <w:t xml:space="preserve">The Asymmetry Principle is reviewed annually by the Methodology Board with specific input from the DV advocate Methodology Board seat and the Data Ethics Committee DV advocate seat. Revisions follow the standard methodology adoption workflow (Binder Doc 09) with one addition: any proposed revision requires explicit sign-off from the Methodology Board's DV advocate seat. That seat holds a singular blocking authority over Asymmetry Principle changes.</w:t>
      </w:r>
    </w:p>
    <w:p>
      <w:pPr>
        <w:spacing w:after="160"/>
      </w:pPr>
      <w:r>
        <w:t xml:space="preserve">The singular blocking authority is a deliberate departure from the Board's standard two-thirds-supermajority voting rule. The rationale: the DV advocate seat exists precisely to protect against the failure mode this Principle exists to prevent. If that seat cannot block a revision to the Principle, the seat's function is illusory.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CC-01 · ASYMMETRY PRINCIPLE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2026-04-21T02:05:02.380Z</dcterms:created>
  <dcterms:modified xsi:type="dcterms:W3CDTF">2026-04-21T02:05:02.381Z</dcterms:modified>
</cp:coreProperties>
</file>

<file path=docProps/custom.xml><?xml version="1.0" encoding="utf-8"?>
<Properties xmlns="http://schemas.openxmlformats.org/officeDocument/2006/custom-properties" xmlns:vt="http://schemas.openxmlformats.org/officeDocument/2006/docPropsVTypes"/>
</file>