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b/>
          <w:bCs/>
          <w:color w:val="B8371F"/>
          <w:spacing w:val="60"/>
          <w:sz w:val="18"/>
          <w:szCs w:val="18"/>
        </w:rPr>
        <w:t xml:space="preserve">DOCUMENT CC-06</w:t>
      </w:r>
    </w:p>
    <w:p>
      <w:pPr>
        <w:spacing w:after="80"/>
      </w:pPr>
      <w:r>
        <w:rPr>
          <w:b/>
          <w:bCs/>
          <w:color w:val="1F2744"/>
          <w:spacing w:val="40"/>
          <w:sz w:val="22"/>
          <w:szCs w:val="22"/>
        </w:rPr>
        <w:t xml:space="preserve">THE FAMILY COURT METRIC CATALOG</w:t>
      </w:r>
    </w:p>
    <w:p>
      <w:pPr>
        <w:spacing w:after="40"/>
      </w:pPr>
      <w:r>
        <w:rPr>
          <w:b/>
          <w:bCs/>
          <w:color w:val="0D1220"/>
          <w:sz w:val="52"/>
          <w:szCs w:val="52"/>
        </w:rPr>
        <w:t xml:space="preserve">Stakeholder</w:t>
      </w:r>
    </w:p>
    <w:p>
      <w:pPr>
        <w:spacing w:after="240"/>
      </w:pPr>
      <w:r>
        <w:rPr>
          <w:b/>
          <w:bCs/>
          <w:color w:val="0D1220"/>
          <w:sz w:val="52"/>
          <w:szCs w:val="52"/>
        </w:rPr>
        <w:t xml:space="preserve">Training Module</w:t>
      </w:r>
    </w:p>
    <w:p>
      <w:pPr>
        <w:spacing w:after="400"/>
      </w:pPr>
      <w:r>
        <w:rPr>
          <w:color w:val="1F2744"/>
          <w:sz w:val="26"/>
          <w:szCs w:val="26"/>
        </w:rPr>
        <w:t xml:space="preserve">Role-specific training content on coercive control, manufactured conflict, and the Catalog's treatment of them. Designed for cross-role delivery across the CoTrackPro ecosystem.</w:t>
      </w:r>
    </w:p>
    <w:p>
      <w:pPr>
        <w:pBdr>
          <w:bottom w:val="single" w:color="0D1220" w:sz="6" w:space="1"/>
        </w:pBdr>
        <w:spacing w:after="120" w:before="120"/>
      </w:pPr>
      <w:r>
        <w:t xml:space="preserve"/>
      </w:r>
    </w:p>
    <w:p>
      <w:pPr>
        <w:spacing w:after="60" w:before="200"/>
      </w:pPr>
      <w:r>
        <w:rPr>
          <w:b/>
          <w:bCs/>
          <w:color w:val="555046"/>
          <w:spacing w:val="40"/>
          <w:sz w:val="16"/>
          <w:szCs w:val="16"/>
        </w:rPr>
        <w:t xml:space="preserve">PREPARED FOR</w:t>
      </w:r>
    </w:p>
    <w:p>
      <w:pPr>
        <w:spacing w:after="120"/>
      </w:pPr>
      <w:r>
        <w:rPr>
          <w:color w:val="0D1220"/>
          <w:sz w:val="24"/>
          <w:szCs w:val="24"/>
        </w:rPr>
        <w:t xml:space="preserve">GALs · Mediators · Therapists · Judges · Clerks · Advocates</w:t>
      </w:r>
    </w:p>
    <w:p>
      <w:pPr>
        <w:spacing w:before="400"/>
      </w:pPr>
      <w:r>
        <w:rPr>
          <w:b/>
          <w:bCs/>
          <w:color w:val="555046"/>
          <w:spacing w:val="30"/>
          <w:sz w:val="18"/>
          <w:szCs w:val="18"/>
        </w:rPr>
        <w:t xml:space="preserve">Missouri Pilot · Version 0.3 · 2026</w:t>
      </w:r>
    </w:p>
    <w:p>
      <w:pPr>
        <w:spacing w:after="40"/>
      </w:pPr>
      <w:r>
        <w:rPr>
          <w:color w:val="555046"/>
          <w:sz w:val="18"/>
          <w:szCs w:val="18"/>
        </w:rPr>
        <w:t xml:space="preserve">A CoTrackPro Civic Publication</w:t>
      </w:r>
    </w:p>
    <w:p>
      <w:r>
        <w:br w:type="page"/>
      </w:r>
    </w:p>
    <w:p>
      <w:pPr>
        <w:pBdr>
          <w:left w:val="single" w:color="B8371F" w:sz="24" w:space="12"/>
        </w:pBdr>
        <w:shd w:fill="FCEBEB" w:val="clear"/>
        <w:spacing w:after="240" w:before="240"/>
        <w:ind w:left="360" w:right="240"/>
      </w:pPr>
      <w:r>
        <w:rPr>
          <w:b/>
          <w:bCs/>
          <w:color w:val="B8371F"/>
          <w:spacing w:val="20"/>
          <w:sz w:val="22"/>
          <w:szCs w:val="22"/>
        </w:rPr>
        <w:t xml:space="preserve">DRAFT FOR EXPERT REVIEW. </w:t>
      </w:r>
      <w:r>
        <w:rPr>
          <w:color w:val="0D1220"/>
          <w:sz w:val="22"/>
          <w:szCs w:val="22"/>
        </w:rPr>
        <w:t xml:space="preserve">Prepared by a product author who is not a coercive-control clinician or survivor advocate. Requires MOCADSV/clinician/survivor-led review before operational adoption.</w:t>
      </w:r>
    </w:p>
    <w:p>
      <w:pPr>
        <w:spacing w:after="40" w:before="240"/>
      </w:pPr>
      <w:r>
        <w:rPr>
          <w:b/>
          <w:bCs/>
          <w:color w:val="B8371F"/>
          <w:spacing w:val="40"/>
          <w:sz w:val="18"/>
          <w:szCs w:val="18"/>
        </w:rPr>
        <w:t xml:space="preserve">DESIGN PRINCIPLES</w:t>
      </w:r>
    </w:p>
    <w:p>
      <w:pPr>
        <w:pStyle w:val="Heading1"/>
      </w:pPr>
      <w:r>
        <w:t xml:space="preserve">Why This Training Exists</w:t>
      </w:r>
    </w:p>
    <w:p>
      <w:pPr>
        <w:spacing w:after="160"/>
      </w:pPr>
      <w:r>
        <w:t xml:space="preserve">Coercive-control recognition is not an intuition people have without training. Even well-intentioned family-court professionals frequently misread coercive-control patterns as high conflict, misread targeted-parent protective behavior as difficulty, and apply bilateral frameworks to asymmetric situations. The result is systematic harm to targeted parents and their children, and failure to intervene in ways that would reduce harm.</w:t>
      </w:r>
    </w:p>
    <w:p>
      <w:pPr>
        <w:spacing w:after="160"/>
      </w:pPr>
      <w:r>
        <w:t xml:space="preserve">This training module is role-differentiated. It is not a generic awareness course. Each role has different decisions to make, different professional obligations, and different blind spots, and the module addresses each separately. The shared core (60 minutes) establishes common vocabulary; role-specific extensions (30-60 minutes each) operationalize it.</w:t>
      </w:r>
    </w:p>
    <w:p>
      <w:pPr>
        <w:spacing w:after="40" w:before="240"/>
      </w:pPr>
      <w:r>
        <w:rPr>
          <w:b/>
          <w:bCs/>
          <w:color w:val="B8371F"/>
          <w:spacing w:val="40"/>
          <w:sz w:val="18"/>
          <w:szCs w:val="18"/>
        </w:rPr>
        <w:t xml:space="preserve">MODULE ARCHITECTURE</w:t>
      </w:r>
    </w:p>
    <w:p>
      <w:pPr>
        <w:pStyle w:val="Heading1"/>
      </w:pPr>
      <w:r>
        <w:t xml:space="preserve">Shared Core + Role Extensions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1500"/>
        <w:gridCol w:w="2500"/>
      </w:tblGrid>
      <w:tr>
        <w:trPr>
          <w:tblHeader/>
        </w:trPr>
        <w:tc>
          <w:tcPr>
            <w:tcW w:type="dxa" w:w="536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SEGMENT</w:t>
            </w:r>
          </w:p>
        </w:tc>
        <w:tc>
          <w:tcPr>
            <w:tcW w:type="dxa" w:w="15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DURATION</w:t>
            </w:r>
          </w:p>
        </w:tc>
        <w:tc>
          <w:tcPr>
            <w:tcW w:type="dxa" w:w="25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AUDIENCE</w:t>
            </w:r>
          </w:p>
        </w:tc>
      </w:tr>
      <w:tr>
        <w:tc>
          <w:tcPr>
            <w:tcW w:type="dxa" w:w="5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Shared Core: Foundations</w:t>
            </w:r>
          </w:p>
        </w:tc>
        <w:tc>
          <w:tcPr>
            <w:tcW w:type="dxa" w:w="1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60 min</w:t>
            </w:r>
          </w:p>
        </w:tc>
        <w:tc>
          <w:tcPr>
            <w:tcW w:type="dxa" w:w="2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All roles</w:t>
            </w:r>
          </w:p>
        </w:tc>
      </w:tr>
      <w:tr>
        <w:tc>
          <w:tcPr>
            <w:tcW w:type="dxa" w:w="5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Extension A: For Judges</w:t>
            </w:r>
          </w:p>
        </w:tc>
        <w:tc>
          <w:tcPr>
            <w:tcW w:type="dxa" w:w="1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30 min</w:t>
            </w:r>
          </w:p>
        </w:tc>
        <w:tc>
          <w:tcPr>
            <w:tcW w:type="dxa" w:w="2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Family court judges</w:t>
            </w:r>
          </w:p>
        </w:tc>
      </w:tr>
      <w:tr>
        <w:tc>
          <w:tcPr>
            <w:tcW w:type="dxa" w:w="5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Extension B: For GALs and Custody Evaluators</w:t>
            </w:r>
          </w:p>
        </w:tc>
        <w:tc>
          <w:tcPr>
            <w:tcW w:type="dxa" w:w="1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60 min</w:t>
            </w:r>
          </w:p>
        </w:tc>
        <w:tc>
          <w:tcPr>
            <w:tcW w:type="dxa" w:w="2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GALs, evaluators</w:t>
            </w:r>
          </w:p>
        </w:tc>
      </w:tr>
      <w:tr>
        <w:tc>
          <w:tcPr>
            <w:tcW w:type="dxa" w:w="5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Extension C: For Mediators</w:t>
            </w:r>
          </w:p>
        </w:tc>
        <w:tc>
          <w:tcPr>
            <w:tcW w:type="dxa" w:w="1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45 min</w:t>
            </w:r>
          </w:p>
        </w:tc>
        <w:tc>
          <w:tcPr>
            <w:tcW w:type="dxa" w:w="2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Mediators</w:t>
            </w:r>
          </w:p>
        </w:tc>
      </w:tr>
      <w:tr>
        <w:tc>
          <w:tcPr>
            <w:tcW w:type="dxa" w:w="5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Extension D: For Therapists</w:t>
            </w:r>
          </w:p>
        </w:tc>
        <w:tc>
          <w:tcPr>
            <w:tcW w:type="dxa" w:w="1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45 min</w:t>
            </w:r>
          </w:p>
        </w:tc>
        <w:tc>
          <w:tcPr>
            <w:tcW w:type="dxa" w:w="2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Licensed mental-health professionals</w:t>
            </w:r>
          </w:p>
        </w:tc>
      </w:tr>
      <w:tr>
        <w:tc>
          <w:tcPr>
            <w:tcW w:type="dxa" w:w="5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Extension E: For Court Clerks and Self-Help Staff</w:t>
            </w:r>
          </w:p>
        </w:tc>
        <w:tc>
          <w:tcPr>
            <w:tcW w:type="dxa" w:w="1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30 min</w:t>
            </w:r>
          </w:p>
        </w:tc>
        <w:tc>
          <w:tcPr>
            <w:tcW w:type="dxa" w:w="2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Court staff</w:t>
            </w:r>
          </w:p>
        </w:tc>
      </w:tr>
      <w:tr>
        <w:tc>
          <w:tcPr>
            <w:tcW w:type="dxa" w:w="5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Extension F: For Family Law Attorneys</w:t>
            </w:r>
          </w:p>
        </w:tc>
        <w:tc>
          <w:tcPr>
            <w:tcW w:type="dxa" w:w="1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45 min</w:t>
            </w:r>
          </w:p>
        </w:tc>
        <w:tc>
          <w:tcPr>
            <w:tcW w:type="dxa" w:w="2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Attorneys</w:t>
            </w:r>
          </w:p>
        </w:tc>
      </w:tr>
      <w:tr>
        <w:tc>
          <w:tcPr>
            <w:tcW w:type="dxa" w:w="5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Extension G: For Law Enforcement</w:t>
            </w:r>
          </w:p>
        </w:tc>
        <w:tc>
          <w:tcPr>
            <w:tcW w:type="dxa" w:w="1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45 min</w:t>
            </w:r>
          </w:p>
        </w:tc>
        <w:tc>
          <w:tcPr>
            <w:tcW w:type="dxa" w:w="2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Police, sheriffs, court-security</w:t>
            </w:r>
          </w:p>
        </w:tc>
      </w:tr>
    </w:tbl>
    <w:p>
      <w:r>
        <w:br w:type="page"/>
      </w:r>
    </w:p>
    <w:p>
      <w:pPr>
        <w:spacing w:after="40" w:before="240"/>
      </w:pPr>
      <w:r>
        <w:rPr>
          <w:b/>
          <w:bCs/>
          <w:color w:val="B8371F"/>
          <w:spacing w:val="40"/>
          <w:sz w:val="18"/>
          <w:szCs w:val="18"/>
        </w:rPr>
        <w:t xml:space="preserve">SHARED CORE</w:t>
      </w:r>
    </w:p>
    <w:p>
      <w:pPr>
        <w:pStyle w:val="Heading1"/>
      </w:pPr>
      <w:r>
        <w:t xml:space="preserve">Foundations — 60 Minutes</w:t>
      </w:r>
    </w:p>
    <w:p>
      <w:pPr>
        <w:pStyle w:val="Heading3"/>
      </w:pPr>
      <w:r>
        <w:t xml:space="preserve">Segment 1 · What Coercive Control Is (15 min)</w:t>
      </w:r>
    </w:p>
    <w:p>
      <w:pPr>
        <w:spacing w:after="160"/>
      </w:pPr>
      <w:r>
        <w:t xml:space="preserve">Opens with two case vignettes designed to produce contrasting reactions: one where coercive control is present but looks like "high conflict" on paper, one where mutual high conflict looks severe but does not involve coercive control. Purpose: establish that discernment matters and cannot be done from paper alone.</w:t>
      </w:r>
    </w:p>
    <w:p>
      <w:pPr>
        <w:spacing w:after="160"/>
      </w:pPr>
      <w:r>
        <w:t xml:space="preserve">Covers: Stark's definition and framework, Johnson's typology (with criticism), the four defining features (continuity, invisibility, appropriation, asymmetry), and the failure mode of discrete-incident measurement.</w:t>
      </w:r>
    </w:p>
    <w:p>
      <w:pPr>
        <w:pStyle w:val="Heading3"/>
      </w:pPr>
      <w:r>
        <w:t xml:space="preserve">Segment 2 · Recognition and Pattern Reading (15 min)</w:t>
      </w:r>
    </w:p>
    <w:p>
      <w:pPr>
        <w:spacing w:after="160"/>
      </w:pPr>
      <w:r>
        <w:t xml:space="preserve">Tactics overview using the Power and Control Wheel. Emphasis on tactics that are especially common in post-separation contexts: legal systems abuse, children-as-messengers, financial control via shared accounts and support proceedings, technology-facilitated surveillance.</w:t>
      </w:r>
    </w:p>
    <w:p>
      <w:pPr>
        <w:spacing w:after="160"/>
      </w:pPr>
      <w:r>
        <w:t xml:space="preserve">Includes a recognition exercise: participants review five case summaries and categorize each as likely coercive control, likely high conflict, or indeterminate. Instructor-led review surfaces common misreadings.</w:t>
      </w:r>
    </w:p>
    <w:p>
      <w:pPr>
        <w:pStyle w:val="Heading3"/>
      </w:pPr>
      <w:r>
        <w:t xml:space="preserve">Segment 3 · Why Bilateral Is Harmful Here (10 min)</w:t>
      </w:r>
    </w:p>
    <w:p>
      <w:pPr>
        <w:spacing w:after="160"/>
      </w:pPr>
      <w:r>
        <w:t xml:space="preserve">The Asymmetry Principle explained in plain language. The six-step failure mode of bilateral measurement in coercive-control cases walked through with a worked example.</w:t>
      </w:r>
    </w:p>
    <w:p>
      <w:pPr>
        <w:spacing w:after="160"/>
      </w:pPr>
      <w:r>
        <w:t xml:space="preserve">Participants who come in with bilateral-framework training often find this segment uncomfortable. The instructor-notes version of this segment includes specific handling for participants who object or disagree, which focuses on the empirical failure mode rather than on ideological framing.</w:t>
      </w:r>
    </w:p>
    <w:p>
      <w:pPr>
        <w:pStyle w:val="Heading3"/>
      </w:pPr>
      <w:r>
        <w:t xml:space="preserve">Segment 4 · The Catalog's Treatment (10 min)</w:t>
      </w:r>
    </w:p>
    <w:p>
      <w:pPr>
        <w:spacing w:after="160"/>
      </w:pPr>
      <w:r>
        <w:t xml:space="preserve">Overview of the Screening Protocol, the four tracks, the metric treatment (CC-04), and the roles stakeholders play in operationalizing the framework. Short, orienting, not deep.</w:t>
      </w:r>
    </w:p>
    <w:p>
      <w:pPr>
        <w:pStyle w:val="Heading3"/>
      </w:pPr>
      <w:r>
        <w:t xml:space="preserve">Segment 5 · What You Cannot Do From This Training (10 min)</w:t>
      </w:r>
    </w:p>
    <w:p>
      <w:pPr>
        <w:spacing w:after="160"/>
      </w:pPr>
      <w:r>
        <w:t xml:space="preserve">Explicit statement of limitations: this training does not qualify participants to administer screening, to make clinical determinations, or to override professional-standards referrals. Participants leave knowing more about what they can recognize and who to refer to, not more about what they can assess themselves.</w:t>
      </w:r>
    </w:p>
    <w:p>
      <w:pPr>
        <w:spacing w:after="40" w:before="240"/>
      </w:pPr>
      <w:r>
        <w:rPr>
          <w:b/>
          <w:bCs/>
          <w:color w:val="B8371F"/>
          <w:spacing w:val="40"/>
          <w:sz w:val="18"/>
          <w:szCs w:val="18"/>
        </w:rPr>
        <w:t xml:space="preserve">EXTENSION A · FOR JUDGES</w:t>
      </w:r>
    </w:p>
    <w:p>
      <w:pPr>
        <w:pStyle w:val="Heading1"/>
      </w:pPr>
      <w:r>
        <w:t xml:space="preserve">Judicial-Specific Content (30 min)</w:t>
      </w:r>
    </w:p>
    <w:p>
      <w:pPr>
        <w:pStyle w:val="Heading3"/>
      </w:pPr>
      <w:r>
        <w:t xml:space="preserve">What This Looks Like From the Bench</w:t>
      </w:r>
    </w:p>
    <w:p>
      <w:pPr>
        <w:spacing w:after="160"/>
      </w:pPr>
      <w:r>
        <w:t xml:space="preserve">Focused on the specific discernment challenges judges face: contradictory testimony where one party is minimizing, "high conflict" framing by counsel who have not assessed for coercive control, legal-systems-abuse indicators hidden inside apparently-legitimate motion practice.</w:t>
      </w:r>
    </w:p>
    <w:p>
      <w:pPr>
        <w:pStyle w:val="ListParagraph"/>
        <w:numPr>
          <w:ilvl w:val="0"/>
          <w:numId w:val="2"/>
        </w:numPr>
        <w:spacing w:after="80"/>
      </w:pPr>
      <w:r>
        <w:t xml:space="preserve">Recognition of legal-systems-abuse patterns in docket review.</w:t>
      </w:r>
    </w:p>
    <w:p>
      <w:pPr>
        <w:pStyle w:val="ListParagraph"/>
        <w:numPr>
          <w:ilvl w:val="0"/>
          <w:numId w:val="2"/>
        </w:numPr>
        <w:spacing w:after="80"/>
      </w:pPr>
      <w:r>
        <w:t xml:space="preserve">When to order coercive-control assessment (and from whom).</w:t>
      </w:r>
    </w:p>
    <w:p>
      <w:pPr>
        <w:pStyle w:val="ListParagraph"/>
        <w:numPr>
          <w:ilvl w:val="0"/>
          <w:numId w:val="2"/>
        </w:numPr>
        <w:spacing w:after="80"/>
      </w:pPr>
      <w:r>
        <w:t xml:space="preserve">How parenting plans should differ when CC is present (limited joint decision-making, parallel parenting structures, supervised exchange).</w:t>
      </w:r>
    </w:p>
    <w:p>
      <w:pPr>
        <w:pStyle w:val="ListParagraph"/>
        <w:numPr>
          <w:ilvl w:val="0"/>
          <w:numId w:val="2"/>
        </w:numPr>
        <w:spacing w:after="80"/>
      </w:pPr>
      <w:r>
        <w:t xml:space="preserve">Handling of cross-accusations where one party accuses the other of coercive control and counter-accusations follow.</w:t>
      </w:r>
    </w:p>
    <w:p>
      <w:pPr>
        <w:spacing w:after="160"/>
      </w:pPr>
      <w:r>
        <w:t xml:space="preserve">The extension does NOT train judges in clinical assessment. It trains judges in recognizing when clinical assessment should be ordered and how to interpret results when they are available. Judicial Canon compatibility reviewed with each Missouri-specific case illustration.</w:t>
      </w:r>
    </w:p>
    <w:p>
      <w:r>
        <w:br w:type="page"/>
      </w:r>
    </w:p>
    <w:p>
      <w:pPr>
        <w:spacing w:after="40" w:before="240"/>
      </w:pPr>
      <w:r>
        <w:rPr>
          <w:b/>
          <w:bCs/>
          <w:color w:val="B8371F"/>
          <w:spacing w:val="40"/>
          <w:sz w:val="18"/>
          <w:szCs w:val="18"/>
        </w:rPr>
        <w:t xml:space="preserve">EXTENSION B · FOR GALS AND EVALUATORS</w:t>
      </w:r>
    </w:p>
    <w:p>
      <w:pPr>
        <w:pStyle w:val="Heading1"/>
      </w:pPr>
      <w:r>
        <w:t xml:space="preserve">GAL / Evaluator Specific (60 min)</w:t>
      </w:r>
    </w:p>
    <w:p>
      <w:pPr>
        <w:spacing w:after="160"/>
      </w:pPr>
      <w:r>
        <w:t xml:space="preserve">Longest extension because GALs and custody evaluators have the most operational responsibility for coercive-control discernment. Content includes:</w:t>
      </w:r>
    </w:p>
    <w:p>
      <w:pPr>
        <w:pStyle w:val="ListParagraph"/>
        <w:numPr>
          <w:ilvl w:val="0"/>
          <w:numId w:val="2"/>
        </w:numPr>
        <w:spacing w:after="80"/>
      </w:pPr>
      <w:r>
        <w:t xml:space="preserve">Administration of the Screening Protocol in appointment-appropriate ways.</w:t>
      </w:r>
    </w:p>
    <w:p>
      <w:pPr>
        <w:pStyle w:val="ListParagraph"/>
        <w:numPr>
          <w:ilvl w:val="0"/>
          <w:numId w:val="2"/>
        </w:numPr>
        <w:spacing w:after="80"/>
      </w:pPr>
      <w:r>
        <w:t xml:space="preserve">Interview technique adjustments when coercive control is suspected: separate interviews, trauma-informed questioning, managing appropriation tactics.</w:t>
      </w:r>
    </w:p>
    <w:p>
      <w:pPr>
        <w:pStyle w:val="ListParagraph"/>
        <w:numPr>
          <w:ilvl w:val="0"/>
          <w:numId w:val="2"/>
        </w:numPr>
        <w:spacing w:after="80"/>
      </w:pPr>
      <w:r>
        <w:t xml:space="preserve">Cross-interview corroboration: using children's reports, extended family, school and medical records.</w:t>
      </w:r>
    </w:p>
    <w:p>
      <w:pPr>
        <w:pStyle w:val="ListParagraph"/>
        <w:numPr>
          <w:ilvl w:val="0"/>
          <w:numId w:val="2"/>
        </w:numPr>
        <w:spacing w:after="80"/>
      </w:pPr>
      <w:r>
        <w:t xml:space="preserve">Recognizing controlling-parent appropriation: when the controlling parent accuses the targeted parent of coercive control first, which is a documented tactic.</w:t>
      </w:r>
    </w:p>
    <w:p>
      <w:pPr>
        <w:pStyle w:val="ListParagraph"/>
        <w:numPr>
          <w:ilvl w:val="0"/>
          <w:numId w:val="2"/>
        </w:numPr>
        <w:spacing w:after="80"/>
      </w:pPr>
      <w:r>
        <w:t xml:space="preserve">Report writing: how to describe a pattern without offering unsupported clinical conclusions, how to identify recommended next steps, how to structure the report so it cannot easily be adversarial-appropriated.</w:t>
      </w:r>
    </w:p>
    <w:p>
      <w:pPr>
        <w:pStyle w:val="ListParagraph"/>
        <w:numPr>
          <w:ilvl w:val="0"/>
          <w:numId w:val="2"/>
        </w:numPr>
        <w:spacing w:after="80"/>
      </w:pPr>
      <w:r>
        <w:t xml:space="preserve">Boundaries: when the GAL or evaluator has reached the limits of their expertise and should recommend further clinical assessment.</w:t>
      </w:r>
    </w:p>
    <w:p>
      <w:pPr>
        <w:spacing w:after="40" w:before="240"/>
      </w:pPr>
      <w:r>
        <w:rPr>
          <w:b/>
          <w:bCs/>
          <w:color w:val="B8371F"/>
          <w:spacing w:val="40"/>
          <w:sz w:val="18"/>
          <w:szCs w:val="18"/>
        </w:rPr>
        <w:t xml:space="preserve">EXTENSION C · FOR MEDIATORS</w:t>
      </w:r>
    </w:p>
    <w:p>
      <w:pPr>
        <w:pStyle w:val="Heading1"/>
      </w:pPr>
      <w:r>
        <w:t xml:space="preserve">Mediation-Specific (45 min)</w:t>
      </w:r>
    </w:p>
    <w:p>
      <w:pPr>
        <w:spacing w:after="160"/>
      </w:pPr>
      <w:r>
        <w:t xml:space="preserve">Mediation is often specifically contraindicated in coercive-control cases. This extension emphasizes screening out.</w:t>
      </w:r>
    </w:p>
    <w:p>
      <w:pPr>
        <w:pStyle w:val="ListParagraph"/>
        <w:numPr>
          <w:ilvl w:val="0"/>
          <w:numId w:val="2"/>
        </w:numPr>
        <w:spacing w:after="80"/>
      </w:pPr>
      <w:r>
        <w:t xml:space="preserve">Pre-mediation screening: using the Screening Protocol before the first joint session, not after.</w:t>
      </w:r>
    </w:p>
    <w:p>
      <w:pPr>
        <w:pStyle w:val="ListParagraph"/>
        <w:numPr>
          <w:ilvl w:val="0"/>
          <w:numId w:val="2"/>
        </w:numPr>
        <w:spacing w:after="80"/>
      </w:pPr>
      <w:r>
        <w:t xml:space="preserve">Reasons to decline mediation: Track B assignment in particular.</w:t>
      </w:r>
    </w:p>
    <w:p>
      <w:pPr>
        <w:pStyle w:val="ListParagraph"/>
        <w:numPr>
          <w:ilvl w:val="0"/>
          <w:numId w:val="2"/>
        </w:numPr>
        <w:spacing w:after="80"/>
      </w:pPr>
      <w:r>
        <w:t xml:space="preserve">Shuttle mediation and its limits: why "just keep them in separate rooms" does not solve the underlying asymmetry.</w:t>
      </w:r>
    </w:p>
    <w:p>
      <w:pPr>
        <w:pStyle w:val="ListParagraph"/>
        <w:numPr>
          <w:ilvl w:val="0"/>
          <w:numId w:val="2"/>
        </w:numPr>
        <w:spacing w:after="80"/>
      </w:pPr>
      <w:r>
        <w:t xml:space="preserve">Recognizing capitulation vs. agreement in what looks like a settlement.</w:t>
      </w:r>
    </w:p>
    <w:p>
      <w:pPr>
        <w:pStyle w:val="ListParagraph"/>
        <w:numPr>
          <w:ilvl w:val="0"/>
          <w:numId w:val="2"/>
        </w:numPr>
        <w:spacing w:after="80"/>
      </w:pPr>
      <w:r>
        <w:t xml:space="preserve">Professional referral pathways when mediation is declined.</w:t>
      </w:r>
    </w:p>
    <w:p>
      <w:pPr>
        <w:spacing w:after="40" w:before="240"/>
      </w:pPr>
      <w:r>
        <w:rPr>
          <w:b/>
          <w:bCs/>
          <w:color w:val="B8371F"/>
          <w:spacing w:val="40"/>
          <w:sz w:val="18"/>
          <w:szCs w:val="18"/>
        </w:rPr>
        <w:t xml:space="preserve">EXTENSION D · FOR THERAPISTS</w:t>
      </w:r>
    </w:p>
    <w:p>
      <w:pPr>
        <w:pStyle w:val="Heading1"/>
      </w:pPr>
      <w:r>
        <w:t xml:space="preserve">Therapist-Specific (45 min)</w:t>
      </w:r>
    </w:p>
    <w:p>
      <w:pPr>
        <w:spacing w:after="160"/>
      </w:pPr>
      <w:r>
        <w:t xml:space="preserve">Therapists across specialties encounter coercive control in their caseloads; most are under-prepared. Extension emphasizes:</w:t>
      </w:r>
    </w:p>
    <w:p>
      <w:pPr>
        <w:pStyle w:val="ListParagraph"/>
        <w:numPr>
          <w:ilvl w:val="0"/>
          <w:numId w:val="2"/>
        </w:numPr>
        <w:spacing w:after="80"/>
      </w:pPr>
      <w:r>
        <w:t xml:space="preserve">Screening in intake for new clients involved in family-court proceedings.</w:t>
      </w:r>
    </w:p>
    <w:p>
      <w:pPr>
        <w:pStyle w:val="ListParagraph"/>
        <w:numPr>
          <w:ilvl w:val="0"/>
          <w:numId w:val="2"/>
        </w:numPr>
        <w:spacing w:after="80"/>
      </w:pPr>
      <w:r>
        <w:t xml:space="preserve">Couples therapy is contraindicated in active coercive-control cases. Why, and how to decline safely.</w:t>
      </w:r>
    </w:p>
    <w:p>
      <w:pPr>
        <w:pStyle w:val="ListParagraph"/>
        <w:numPr>
          <w:ilvl w:val="0"/>
          <w:numId w:val="2"/>
        </w:numPr>
        <w:spacing w:after="80"/>
      </w:pPr>
      <w:r>
        <w:t xml:space="preserve">Child therapy considerations in coercive-control contexts (Katz, 2022).</w:t>
      </w:r>
    </w:p>
    <w:p>
      <w:pPr>
        <w:pStyle w:val="ListParagraph"/>
        <w:numPr>
          <w:ilvl w:val="0"/>
          <w:numId w:val="2"/>
        </w:numPr>
        <w:spacing w:after="80"/>
      </w:pPr>
      <w:r>
        <w:t xml:space="preserve">Documentation that does not become adversarial evidence (Missouri privilege considerations).</w:t>
      </w:r>
    </w:p>
    <w:p>
      <w:pPr>
        <w:pStyle w:val="ListParagraph"/>
        <w:numPr>
          <w:ilvl w:val="0"/>
          <w:numId w:val="2"/>
        </w:numPr>
        <w:spacing w:after="80"/>
      </w:pPr>
      <w:r>
        <w:t xml:space="preserve">Coordination with advocacy partners and with GAL/evaluator professionals.</w:t>
      </w:r>
    </w:p>
    <w:p>
      <w:pPr>
        <w:spacing w:after="40" w:before="240"/>
      </w:pPr>
      <w:r>
        <w:rPr>
          <w:b/>
          <w:bCs/>
          <w:color w:val="B8371F"/>
          <w:spacing w:val="40"/>
          <w:sz w:val="18"/>
          <w:szCs w:val="18"/>
        </w:rPr>
        <w:t xml:space="preserve">EXTENSION E · FOR COURT CLERKS AND SELF-HELP STAFF</w:t>
      </w:r>
    </w:p>
    <w:p>
      <w:pPr>
        <w:pStyle w:val="Heading1"/>
      </w:pPr>
      <w:r>
        <w:t xml:space="preserve">Court-Staff Specific (30 min)</w:t>
      </w:r>
    </w:p>
    <w:p>
      <w:pPr>
        <w:spacing w:after="160"/>
      </w:pPr>
      <w:r>
        <w:t xml:space="preserve">Clerks and self-help staff are often the first point of contact for targeted parents. Training is narrow and tactical.</w:t>
      </w:r>
    </w:p>
    <w:p>
      <w:pPr>
        <w:pStyle w:val="ListParagraph"/>
        <w:numPr>
          <w:ilvl w:val="0"/>
          <w:numId w:val="2"/>
        </w:numPr>
        <w:spacing w:after="80"/>
      </w:pPr>
      <w:r>
        <w:t xml:space="preserve">Recognition of safety-concerning behavior in walk-in or phone interactions (without making clinical judgments).</w:t>
      </w:r>
    </w:p>
    <w:p>
      <w:pPr>
        <w:pStyle w:val="ListParagraph"/>
        <w:numPr>
          <w:ilvl w:val="0"/>
          <w:numId w:val="2"/>
        </w:numPr>
        <w:spacing w:after="80"/>
      </w:pPr>
      <w:r>
        <w:t xml:space="preserve">Script for offering information about protective orders and advocacy-partner referral without pressuring.</w:t>
      </w:r>
    </w:p>
    <w:p>
      <w:pPr>
        <w:pStyle w:val="ListParagraph"/>
        <w:numPr>
          <w:ilvl w:val="0"/>
          <w:numId w:val="2"/>
        </w:numPr>
        <w:spacing w:after="80"/>
      </w:pPr>
      <w:r>
        <w:t xml:space="preserve">Device and phone safety when helping a targeted parent fill out forms or use court computers.</w:t>
      </w:r>
    </w:p>
    <w:p>
      <w:pPr>
        <w:pStyle w:val="ListParagraph"/>
        <w:numPr>
          <w:ilvl w:val="0"/>
          <w:numId w:val="2"/>
        </w:numPr>
        <w:spacing w:after="80"/>
      </w:pPr>
      <w:r>
        <w:t xml:space="preserve">Referral pathways to advocacy partners, preferably warm handoffs.</w:t>
      </w:r>
    </w:p>
    <w:p>
      <w:pPr>
        <w:pStyle w:val="ListParagraph"/>
        <w:numPr>
          <w:ilvl w:val="0"/>
          <w:numId w:val="2"/>
        </w:numPr>
        <w:spacing w:after="80"/>
      </w:pPr>
      <w:r>
        <w:t xml:space="preserve">What clerks and staff cannot do: assess, advise, or make determinations.</w:t>
      </w:r>
    </w:p>
    <w:p>
      <w:r>
        <w:br w:type="page"/>
      </w:r>
    </w:p>
    <w:p>
      <w:pPr>
        <w:spacing w:after="40" w:before="240"/>
      </w:pPr>
      <w:r>
        <w:rPr>
          <w:b/>
          <w:bCs/>
          <w:color w:val="B8371F"/>
          <w:spacing w:val="40"/>
          <w:sz w:val="18"/>
          <w:szCs w:val="18"/>
        </w:rPr>
        <w:t xml:space="preserve">EXTENSION F · FOR ATTORNEYS</w:t>
      </w:r>
    </w:p>
    <w:p>
      <w:pPr>
        <w:pStyle w:val="Heading1"/>
      </w:pPr>
      <w:r>
        <w:t xml:space="preserve">Attorney-Specific (45 min)</w:t>
      </w:r>
    </w:p>
    <w:p>
      <w:pPr>
        <w:spacing w:after="160"/>
      </w:pPr>
      <w:r>
        <w:t xml:space="preserve">Overlaps substantially with the CLE module in SPEC-03 of the main binder, but with additional emphasis:</w:t>
      </w:r>
    </w:p>
    <w:p>
      <w:pPr>
        <w:pStyle w:val="ListParagraph"/>
        <w:numPr>
          <w:ilvl w:val="0"/>
          <w:numId w:val="2"/>
        </w:numPr>
        <w:spacing w:after="80"/>
      </w:pPr>
      <w:r>
        <w:t xml:space="preserve">Recognition of coercive-control patterns in initial client interviews.</w:t>
      </w:r>
    </w:p>
    <w:p>
      <w:pPr>
        <w:pStyle w:val="ListParagraph"/>
        <w:numPr>
          <w:ilvl w:val="0"/>
          <w:numId w:val="2"/>
        </w:numPr>
        <w:spacing w:after="80"/>
      </w:pPr>
      <w:r>
        <w:t xml:space="preserve">Adjustment of case strategy when the client is targeted (documentation focus, protective-order considerations, safety planning integrated with case management).</w:t>
      </w:r>
    </w:p>
    <w:p>
      <w:pPr>
        <w:pStyle w:val="ListParagraph"/>
        <w:numPr>
          <w:ilvl w:val="0"/>
          <w:numId w:val="2"/>
        </w:numPr>
        <w:spacing w:after="80"/>
      </w:pPr>
      <w:r>
        <w:t xml:space="preserve">Adjustment of case strategy when representing a client who may be the controlling party (how to advise without becoming an instrument of the pattern).</w:t>
      </w:r>
    </w:p>
    <w:p>
      <w:pPr>
        <w:pStyle w:val="ListParagraph"/>
        <w:numPr>
          <w:ilvl w:val="0"/>
          <w:numId w:val="2"/>
        </w:numPr>
        <w:spacing w:after="80"/>
      </w:pPr>
      <w:r>
        <w:t xml:space="preserve">Handling of cross-accusations from opposing counsel.</w:t>
      </w:r>
    </w:p>
    <w:p>
      <w:pPr>
        <w:pStyle w:val="ListParagraph"/>
        <w:numPr>
          <w:ilvl w:val="0"/>
          <w:numId w:val="2"/>
        </w:numPr>
        <w:spacing w:after="80"/>
      </w:pPr>
      <w:r>
        <w:t xml:space="preserve">Ethical considerations under Missouri Rules of Professional Conduct when coercive control is suspected.</w:t>
      </w:r>
    </w:p>
    <w:p>
      <w:pPr>
        <w:spacing w:after="40" w:before="240"/>
      </w:pPr>
      <w:r>
        <w:rPr>
          <w:b/>
          <w:bCs/>
          <w:color w:val="B8371F"/>
          <w:spacing w:val="40"/>
          <w:sz w:val="18"/>
          <w:szCs w:val="18"/>
        </w:rPr>
        <w:t xml:space="preserve">EXTENSION G · FOR LAW ENFORCEMENT</w:t>
      </w:r>
    </w:p>
    <w:p>
      <w:pPr>
        <w:pStyle w:val="Heading1"/>
      </w:pPr>
      <w:r>
        <w:t xml:space="preserve">Law Enforcement Specific (45 min)</w:t>
      </w:r>
    </w:p>
    <w:p>
      <w:pPr>
        <w:spacing w:after="160"/>
      </w:pPr>
      <w:r>
        <w:t xml:space="preserve">Focused on patrol and court-security contexts:</w:t>
      </w:r>
    </w:p>
    <w:p>
      <w:pPr>
        <w:pStyle w:val="ListParagraph"/>
        <w:numPr>
          <w:ilvl w:val="0"/>
          <w:numId w:val="2"/>
        </w:numPr>
        <w:spacing w:after="80"/>
      </w:pPr>
      <w:r>
        <w:t xml:space="preserve">Recognition of coercive control on domestic calls, distinguishing from situational incidents.</w:t>
      </w:r>
    </w:p>
    <w:p>
      <w:pPr>
        <w:pStyle w:val="ListParagraph"/>
        <w:numPr>
          <w:ilvl w:val="0"/>
          <w:numId w:val="2"/>
        </w:numPr>
        <w:spacing w:after="80"/>
      </w:pPr>
      <w:r>
        <w:t xml:space="preserve">Safety-planning conversation with suspected targeted parents.</w:t>
      </w:r>
    </w:p>
    <w:p>
      <w:pPr>
        <w:pStyle w:val="ListParagraph"/>
        <w:numPr>
          <w:ilvl w:val="0"/>
          <w:numId w:val="2"/>
        </w:numPr>
        <w:spacing w:after="80"/>
      </w:pPr>
      <w:r>
        <w:t xml:space="preserve">Protective-order enforcement nuances where the respondent uses the court process as part of the pattern.</w:t>
      </w:r>
    </w:p>
    <w:p>
      <w:pPr>
        <w:pStyle w:val="ListParagraph"/>
        <w:numPr>
          <w:ilvl w:val="0"/>
          <w:numId w:val="2"/>
        </w:numPr>
        <w:spacing w:after="80"/>
      </w:pPr>
      <w:r>
        <w:t xml:space="preserve">Coordination with advocacy partners and with court personnel for cross-jurisdictional cases.</w:t>
      </w:r>
    </w:p>
    <w:p>
      <w:pPr>
        <w:pStyle w:val="ListParagraph"/>
        <w:numPr>
          <w:ilvl w:val="0"/>
          <w:numId w:val="2"/>
        </w:numPr>
        <w:spacing w:after="80"/>
      </w:pPr>
      <w:r>
        <w:t xml:space="preserve">What law enforcement cannot do: adjudicate disputes, make clinical determinations, interpret family court orders.</w:t>
      </w:r>
    </w:p>
    <w:p>
      <w:pPr>
        <w:spacing w:after="40" w:before="240"/>
      </w:pPr>
      <w:r>
        <w:rPr>
          <w:b/>
          <w:bCs/>
          <w:color w:val="B8371F"/>
          <w:spacing w:val="40"/>
          <w:sz w:val="18"/>
          <w:szCs w:val="18"/>
        </w:rPr>
        <w:t xml:space="preserve">DELIVERY AND ACCREDITATION</w:t>
      </w:r>
    </w:p>
    <w:p>
      <w:pPr>
        <w:pStyle w:val="Heading1"/>
      </w:pPr>
      <w:r>
        <w:t xml:space="preserve">Format, Cadence, Cost</w:t>
      </w:r>
    </w:p>
    <w:p>
      <w:pPr>
        <w:spacing w:after="160"/>
      </w:pPr>
      <w:r>
        <w:t xml:space="preserve">Delivery mode: self-study video with live-discussion optional for cohort delivery. Live-discussion is strongly recommended for GALs, evaluators, mediators, and therapists because instructor-facilitated conversation catches misunderstandings that self-study does not.</w:t>
      </w:r>
    </w:p>
    <w:p>
      <w:pPr>
        <w:pStyle w:val="ListParagraph"/>
        <w:numPr>
          <w:ilvl w:val="0"/>
          <w:numId w:val="2"/>
        </w:numPr>
        <w:spacing w:after="80"/>
      </w:pPr>
      <w:r>
        <w:t xml:space="preserve">Self-study cost: free to participants; development cost estimated at $85,000 across all eight segments.</w:t>
      </w:r>
    </w:p>
    <w:p>
      <w:pPr>
        <w:pStyle w:val="ListParagraph"/>
        <w:numPr>
          <w:ilvl w:val="0"/>
          <w:numId w:val="2"/>
        </w:numPr>
        <w:spacing w:after="80"/>
      </w:pPr>
      <w:r>
        <w:t xml:space="preserve">Live delivery: subsidized at $250 per participant by the Adoption budget in early cohorts; full cost approximately $500-600 per participant after subsidy phase.</w:t>
      </w:r>
    </w:p>
    <w:p>
      <w:pPr>
        <w:pStyle w:val="ListParagraph"/>
        <w:numPr>
          <w:ilvl w:val="0"/>
          <w:numId w:val="2"/>
        </w:numPr>
        <w:spacing w:after="80"/>
      </w:pPr>
      <w:r>
        <w:t xml:space="preserve">Accreditation: CLE hours (attorneys, judges), CEUs (therapists, mediators), POST (law enforcement). Applications submitted with each module cohort.</w:t>
      </w:r>
    </w:p>
    <w:p>
      <w:pPr>
        <w:pStyle w:val="ListParagraph"/>
        <w:numPr>
          <w:ilvl w:val="0"/>
          <w:numId w:val="2"/>
        </w:numPr>
        <w:spacing w:after="80"/>
      </w:pPr>
      <w:r>
        <w:t xml:space="preserve">Re-training cadence: biannually for professional roles; every four years for support roles; after any substantial methodology update.</w:t>
      </w:r>
    </w:p>
    <w:p>
      <w:pPr>
        <w:spacing w:after="40" w:before="240"/>
      </w:pPr>
      <w:r>
        <w:rPr>
          <w:b/>
          <w:bCs/>
          <w:color w:val="B8371F"/>
          <w:spacing w:val="40"/>
          <w:sz w:val="18"/>
          <w:szCs w:val="18"/>
        </w:rPr>
        <w:t xml:space="preserve">DEVELOPMENT PARTNERS</w:t>
      </w:r>
    </w:p>
    <w:p>
      <w:pPr>
        <w:pStyle w:val="Heading1"/>
      </w:pPr>
      <w:r>
        <w:t xml:space="preserve">Who Builds This</w:t>
      </w:r>
    </w:p>
    <w:p>
      <w:pPr>
        <w:spacing w:after="160"/>
      </w:pPr>
      <w:r>
        <w:t xml:space="preserve">Development requires a team the Catalog does not have in-house:</w:t>
      </w:r>
    </w:p>
    <w:p>
      <w:pPr>
        <w:pStyle w:val="ListParagraph"/>
        <w:numPr>
          <w:ilvl w:val="0"/>
          <w:numId w:val="2"/>
        </w:numPr>
        <w:spacing w:after="80"/>
      </w:pPr>
      <w:r>
        <w:t xml:space="preserve">A licensed clinician with coercive-control specialty as content lead.</w:t>
      </w:r>
    </w:p>
    <w:p>
      <w:pPr>
        <w:pStyle w:val="ListParagraph"/>
        <w:numPr>
          <w:ilvl w:val="0"/>
          <w:numId w:val="2"/>
        </w:numPr>
        <w:spacing w:after="80"/>
      </w:pPr>
      <w:r>
        <w:t xml:space="preserve">A survivor-advocacy partner (MOCADSV) for content review and survivor-led review panel coordination.</w:t>
      </w:r>
    </w:p>
    <w:p>
      <w:pPr>
        <w:pStyle w:val="ListParagraph"/>
        <w:numPr>
          <w:ilvl w:val="0"/>
          <w:numId w:val="2"/>
        </w:numPr>
        <w:spacing w:after="80"/>
      </w:pPr>
      <w:r>
        <w:t xml:space="preserve">Missouri CLE staff for accreditation coordination.</w:t>
      </w:r>
    </w:p>
    <w:p>
      <w:pPr>
        <w:pStyle w:val="ListParagraph"/>
        <w:numPr>
          <w:ilvl w:val="0"/>
          <w:numId w:val="2"/>
        </w:numPr>
        <w:spacing w:after="80"/>
      </w:pPr>
      <w:r>
        <w:t xml:space="preserve">A video production team for the self-study format.</w:t>
      </w:r>
    </w:p>
    <w:p>
      <w:pPr>
        <w:pStyle w:val="ListParagraph"/>
        <w:numPr>
          <w:ilvl w:val="0"/>
          <w:numId w:val="2"/>
        </w:numPr>
        <w:spacing w:after="80"/>
      </w:pPr>
      <w:r>
        <w:t xml:space="preserve">Subject-matter reviewers for each role extension.</w:t>
      </w:r>
    </w:p>
    <w:p>
      <w:pPr>
        <w:spacing w:after="160"/>
      </w:pPr>
      <w:r>
        <w:t xml:space="preserve">Development timeline estimated at 9-12 months from formal commencement. No content should be recorded or published in any form until the expert-review convening (CC-07) has been held.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1220" w:sz="6" w:space="4"/>
      </w:pBdr>
      <w:tabs>
        <w:tab w:val="center" w:pos="4680"/>
        <w:tab w:val="right" w:pos="9026"/>
      </w:tabs>
    </w:pPr>
    <w:r>
      <w:rPr>
        <w:color w:val="555046"/>
        <w:sz w:val="16"/>
        <w:szCs w:val="16"/>
      </w:rPr>
      <w:t xml:space="preserve">A CoTrackPro Civic Publication</w:t>
    </w:r>
    <w:r>
      <w:t xml:space="preserve">	</w:t>
    </w:r>
    <w:r>
      <w:rPr>
        <w:color w:val="55504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t xml:space="preserve">	</w:t>
    </w:r>
    <w:r>
      <w:rPr>
        <w:color w:val="555046"/>
        <w:sz w:val="16"/>
        <w:szCs w:val="16"/>
      </w:rPr>
      <w:t xml:space="preserve">v0.3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220" w:sz="6" w:space="4"/>
      </w:pBdr>
      <w:tabs>
        <w:tab w:val="right" w:pos="9026"/>
      </w:tabs>
    </w:pPr>
    <w:r>
      <w:rPr>
        <w:b/>
        <w:bCs/>
        <w:color w:val="0D1220"/>
        <w:spacing w:val="30"/>
        <w:sz w:val="16"/>
        <w:szCs w:val="16"/>
      </w:rPr>
      <w:t xml:space="preserve">FAMILY COURT METRIC CATALOG</w:t>
    </w:r>
    <w:r>
      <w:t xml:space="preserve">	</w:t>
    </w:r>
    <w:r>
      <w:rPr>
        <w:color w:val="555046"/>
        <w:spacing w:val="20"/>
        <w:sz w:val="16"/>
        <w:szCs w:val="16"/>
      </w:rPr>
      <w:t xml:space="preserve">DOC CC-06 · STAKEHOLDER TRAINING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122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D122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D12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2026-04-21T02:13:51.357Z</dcterms:created>
  <dcterms:modified xsi:type="dcterms:W3CDTF">2026-04-21T02:13:51.357Z</dcterms:modified>
</cp:coreProperties>
</file>

<file path=docProps/custom.xml><?xml version="1.0" encoding="utf-8"?>
<Properties xmlns="http://schemas.openxmlformats.org/officeDocument/2006/custom-properties" xmlns:vt="http://schemas.openxmlformats.org/officeDocument/2006/docPropsVTypes"/>
</file>