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CC-07</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Expert Review</w:t>
      </w:r>
    </w:p>
    <w:p>
      <w:pPr>
        <w:spacing w:after="240"/>
      </w:pPr>
      <w:r>
        <w:rPr>
          <w:b/>
          <w:bCs/>
          <w:color w:val="0D1220"/>
          <w:sz w:val="52"/>
          <w:szCs w:val="52"/>
        </w:rPr>
        <w:t xml:space="preserve">Convening Agenda</w:t>
      </w:r>
    </w:p>
    <w:p>
      <w:pPr>
        <w:spacing w:after="400"/>
      </w:pPr>
      <w:r>
        <w:rPr>
          <w:color w:val="1F2744"/>
          <w:sz w:val="26"/>
          <w:szCs w:val="26"/>
        </w:rPr>
        <w:t xml:space="preserve">Proposed structure for the two-day convening at which this mini-binder's content moves from technical-draft status to operational-adoption readiness.</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MOCADSV · Clinical Advisors · Survivor Advocacy Partners · Methodology Board</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Prepared by a product author who is not a coercive-control clinician or survivor advocate. Requires MOCADSV/clinician/survivor-led review before operational adoption.</w:t>
      </w:r>
    </w:p>
    <w:p>
      <w:pPr>
        <w:spacing w:after="40" w:before="240"/>
      </w:pPr>
      <w:r>
        <w:rPr>
          <w:b/>
          <w:bCs/>
          <w:color w:val="B8371F"/>
          <w:spacing w:val="40"/>
          <w:sz w:val="18"/>
          <w:szCs w:val="18"/>
        </w:rPr>
        <w:t xml:space="preserve">WHY A CONVENING</w:t>
      </w:r>
    </w:p>
    <w:p>
      <w:pPr>
        <w:pStyle w:val="Heading1"/>
      </w:pPr>
      <w:r>
        <w:t xml:space="preserve">The Content Is Not Ready</w:t>
      </w:r>
    </w:p>
    <w:p>
      <w:pPr>
        <w:spacing w:after="160"/>
      </w:pPr>
      <w:r>
        <w:t xml:space="preserve">Six preceding documents (CC-01 through CC-06) propose foundational framing, operational tools, metrics, product decisions, and training. Each carries an expert-review banner. The banners are not ceremonial. The documents are technical drafts prepared by a product author who is not the right person to decide their content unilaterally.</w:t>
      </w:r>
    </w:p>
    <w:p>
      <w:pPr>
        <w:spacing w:after="160"/>
      </w:pPr>
      <w:r>
        <w:t xml:space="preserve">The Expert Review Convening is the structured forum at which the right people — survivor advocates, coercive-control clinicians, lived-experience reviewers, legal counsel — review the drafts together and make the decisions that cannot be delegated to documents. Two days. In person if possible, hybrid if necessary. Agenda follows.</w:t>
      </w:r>
    </w:p>
    <w:p>
      <w:pPr>
        <w:spacing w:after="40" w:before="240"/>
      </w:pPr>
      <w:r>
        <w:rPr>
          <w:b/>
          <w:bCs/>
          <w:color w:val="B8371F"/>
          <w:spacing w:val="40"/>
          <w:sz w:val="18"/>
          <w:szCs w:val="18"/>
        </w:rPr>
        <w:t xml:space="preserve">PARTICIPANTS</w:t>
      </w:r>
    </w:p>
    <w:p>
      <w:pPr>
        <w:pStyle w:val="Heading1"/>
      </w:pPr>
      <w:r>
        <w:t xml:space="preserve">Who Should Be in the Room</w:t>
      </w:r>
    </w:p>
    <w:p>
      <w:pPr>
        <w:spacing w:after="160"/>
      </w:pPr>
      <w:r>
        <w:t xml:space="preserve">Target participant count: 18-24. Specific seats:</w:t>
      </w:r>
    </w:p>
    <w:p>
      <w:pPr>
        <w:pStyle w:val="ListParagraph"/>
        <w:numPr>
          <w:ilvl w:val="0"/>
          <w:numId w:val="2"/>
        </w:numPr>
        <w:spacing w:after="80"/>
      </w:pPr>
      <w:r>
        <w:t xml:space="preserve">MOCADSV: executive director plus one policy staff member.</w:t>
      </w:r>
    </w:p>
    <w:p>
      <w:pPr>
        <w:pStyle w:val="ListParagraph"/>
        <w:numPr>
          <w:ilvl w:val="0"/>
          <w:numId w:val="2"/>
        </w:numPr>
        <w:spacing w:after="80"/>
      </w:pPr>
      <w:r>
        <w:t xml:space="preserve">Two additional domestic-violence advocacy organizations with operational programs in Missouri.</w:t>
      </w:r>
    </w:p>
    <w:p>
      <w:pPr>
        <w:pStyle w:val="ListParagraph"/>
        <w:numPr>
          <w:ilvl w:val="0"/>
          <w:numId w:val="2"/>
        </w:numPr>
        <w:spacing w:after="80"/>
      </w:pPr>
      <w:r>
        <w:t xml:space="preserve">A survivor-led review panel of four people with lived experience of family-court proceedings under coercive control, recruited through advocacy partners, compensated at $500 per day for their participation.</w:t>
      </w:r>
    </w:p>
    <w:p>
      <w:pPr>
        <w:pStyle w:val="ListParagraph"/>
        <w:numPr>
          <w:ilvl w:val="0"/>
          <w:numId w:val="2"/>
        </w:numPr>
        <w:spacing w:after="80"/>
      </w:pPr>
      <w:r>
        <w:t xml:space="preserve">Two licensed clinicians with coercive-control specialty (one of whom should have specific child-impact expertise per Katz).</w:t>
      </w:r>
    </w:p>
    <w:p>
      <w:pPr>
        <w:pStyle w:val="ListParagraph"/>
        <w:numPr>
          <w:ilvl w:val="0"/>
          <w:numId w:val="2"/>
        </w:numPr>
        <w:spacing w:after="80"/>
      </w:pPr>
      <w:r>
        <w:t xml:space="preserve">A custody evaluator with coercive-control screening experience.</w:t>
      </w:r>
    </w:p>
    <w:p>
      <w:pPr>
        <w:pStyle w:val="ListParagraph"/>
        <w:numPr>
          <w:ilvl w:val="0"/>
          <w:numId w:val="2"/>
        </w:numPr>
        <w:spacing w:after="80"/>
      </w:pPr>
      <w:r>
        <w:t xml:space="preserve">A retired family court judge with willingness to speak candidly about bench experience.</w:t>
      </w:r>
    </w:p>
    <w:p>
      <w:pPr>
        <w:pStyle w:val="ListParagraph"/>
        <w:numPr>
          <w:ilvl w:val="0"/>
          <w:numId w:val="2"/>
        </w:numPr>
        <w:spacing w:after="80"/>
      </w:pPr>
      <w:r>
        <w:t xml:space="preserve">A family law attorney whose practice includes representing targeted parents.</w:t>
      </w:r>
    </w:p>
    <w:p>
      <w:pPr>
        <w:pStyle w:val="ListParagraph"/>
        <w:numPr>
          <w:ilvl w:val="0"/>
          <w:numId w:val="2"/>
        </w:numPr>
        <w:spacing w:after="80"/>
      </w:pPr>
      <w:r>
        <w:t xml:space="preserve">A family law attorney whose practice includes defense-side representation (deliberately included to stress-test the framework with a critical perspective).</w:t>
      </w:r>
    </w:p>
    <w:p>
      <w:pPr>
        <w:pStyle w:val="ListParagraph"/>
        <w:numPr>
          <w:ilvl w:val="0"/>
          <w:numId w:val="2"/>
        </w:numPr>
        <w:spacing w:after="80"/>
      </w:pPr>
      <w:r>
        <w:t xml:space="preserve">Missouri-licensed legal counsel with privacy-law and mandated-reporter expertise.</w:t>
      </w:r>
    </w:p>
    <w:p>
      <w:pPr>
        <w:pStyle w:val="ListParagraph"/>
        <w:numPr>
          <w:ilvl w:val="0"/>
          <w:numId w:val="2"/>
        </w:numPr>
        <w:spacing w:after="80"/>
      </w:pPr>
      <w:r>
        <w:t xml:space="preserve">One academic researcher in coercive control, preferably one associated with a Missouri law school partner.</w:t>
      </w:r>
    </w:p>
    <w:p>
      <w:pPr>
        <w:pStyle w:val="ListParagraph"/>
        <w:numPr>
          <w:ilvl w:val="0"/>
          <w:numId w:val="2"/>
        </w:numPr>
        <w:spacing w:after="80"/>
      </w:pPr>
      <w:r>
        <w:t xml:space="preserve">Methodology Board chair or designee.</w:t>
      </w:r>
    </w:p>
    <w:p>
      <w:pPr>
        <w:pStyle w:val="ListParagraph"/>
        <w:numPr>
          <w:ilvl w:val="0"/>
          <w:numId w:val="2"/>
        </w:numPr>
        <w:spacing w:after="80"/>
      </w:pPr>
      <w:r>
        <w:t xml:space="preserve">Data Ethics Review chair or designee.</w:t>
      </w:r>
    </w:p>
    <w:p>
      <w:pPr>
        <w:pStyle w:val="ListParagraph"/>
        <w:numPr>
          <w:ilvl w:val="0"/>
          <w:numId w:val="2"/>
        </w:numPr>
        <w:spacing w:after="80"/>
      </w:pPr>
      <w:r>
        <w:t xml:space="preserve">Doug Devitre (founder / author of drafts).</w:t>
      </w:r>
    </w:p>
    <w:p>
      <w:pPr>
        <w:pStyle w:val="ListParagraph"/>
        <w:numPr>
          <w:ilvl w:val="0"/>
          <w:numId w:val="2"/>
        </w:numPr>
        <w:spacing w:after="80"/>
      </w:pPr>
      <w:r>
        <w:t xml:space="preserve">A facilitator experienced in advocacy-survivor-clinician bridging conversations.</w:t>
      </w:r>
    </w:p>
    <w:p>
      <w:r>
        <w:br w:type="page"/>
      </w:r>
    </w:p>
    <w:p>
      <w:pPr>
        <w:spacing w:after="40" w:before="240"/>
      </w:pPr>
      <w:r>
        <w:rPr>
          <w:b/>
          <w:bCs/>
          <w:color w:val="B8371F"/>
          <w:spacing w:val="40"/>
          <w:sz w:val="18"/>
          <w:szCs w:val="18"/>
        </w:rPr>
        <w:t xml:space="preserve">PRE-WORK</w:t>
      </w:r>
    </w:p>
    <w:p>
      <w:pPr>
        <w:pStyle w:val="Heading1"/>
      </w:pPr>
      <w:r>
        <w:t xml:space="preserve">Before the Convening</w:t>
      </w:r>
    </w:p>
    <w:p>
      <w:pPr>
        <w:spacing w:after="160"/>
      </w:pPr>
      <w:r>
        <w:t xml:space="preserve">Participants receive the six draft documents at least four weeks in advance. Two weeks before convening, each participant submits written comments on the specific documents most relevant to their expertise. The facilitator and Doug review comments and prepare a comment-synthesis document that opens the convening.</w:t>
      </w:r>
    </w:p>
    <w:p>
      <w:pPr>
        <w:spacing w:after="160"/>
      </w:pPr>
      <w:r>
        <w:t xml:space="preserve">Survivor-panel participants receive additional pre-work support: a trauma-informed guide to the materials, optional advocacy-partner check-in calls, and permission to decline review of any specific section. Their participation terms are established at the outset and respected throughout.</w:t>
      </w:r>
    </w:p>
    <w:p>
      <w:pPr>
        <w:spacing w:after="40" w:before="240"/>
      </w:pPr>
      <w:r>
        <w:rPr>
          <w:b/>
          <w:bCs/>
          <w:color w:val="B8371F"/>
          <w:spacing w:val="40"/>
          <w:sz w:val="18"/>
          <w:szCs w:val="18"/>
        </w:rPr>
        <w:t xml:space="preserve">DAY ONE · MORNING</w:t>
      </w:r>
    </w:p>
    <w:p>
      <w:pPr>
        <w:pStyle w:val="Heading1"/>
      </w:pPr>
      <w:r>
        <w:t xml:space="preserve">Foundations Review (3 hours)</w:t>
      </w:r>
    </w:p>
    <w:p>
      <w:pPr>
        <w:pStyle w:val="Heading3"/>
      </w:pPr>
      <w:r>
        <w:t xml:space="preserve">Session 1.1 · Opening (45 min)</w:t>
      </w:r>
    </w:p>
    <w:p>
      <w:pPr>
        <w:spacing w:after="160"/>
      </w:pPr>
      <w:r>
        <w:t xml:space="preserve">Facilitator opens. Participants introduce themselves and name one thing they are bringing to the convening that they want the room to know. Facilitator establishes ground rules (survivor-panel participant terms are restated in their own voices; no recording; media-hold).</w:t>
      </w:r>
    </w:p>
    <w:p>
      <w:pPr>
        <w:pStyle w:val="Heading3"/>
      </w:pPr>
      <w:r>
        <w:t xml:space="preserve">Session 1.2 · Asymmetry Principle Review (60 min)</w:t>
      </w:r>
    </w:p>
    <w:p>
      <w:pPr>
        <w:spacing w:after="160"/>
      </w:pPr>
      <w:r>
        <w:t xml:space="preserve">Structured review of CC-01. Facilitator surfaces the pre-work comments. Three decision points must be resolved in this session:</w:t>
      </w:r>
    </w:p>
    <w:p>
      <w:pPr>
        <w:pStyle w:val="ListParagraph"/>
        <w:numPr>
          <w:ilvl w:val="0"/>
          <w:numId w:val="2"/>
        </w:numPr>
        <w:spacing w:after="80"/>
      </w:pPr>
      <w:r>
        <w:t xml:space="preserve">Is the Principle as drafted substantively correct?</w:t>
      </w:r>
    </w:p>
    <w:p>
      <w:pPr>
        <w:pStyle w:val="ListParagraph"/>
        <w:numPr>
          <w:ilvl w:val="0"/>
          <w:numId w:val="2"/>
        </w:numPr>
        <w:spacing w:after="80"/>
      </w:pPr>
      <w:r>
        <w:t xml:space="preserve">Does the DV advocate seat's singular-blocking-authority structure preserve what it is meant to preserve without introducing other failure modes?</w:t>
      </w:r>
    </w:p>
    <w:p>
      <w:pPr>
        <w:pStyle w:val="ListParagraph"/>
        <w:numPr>
          <w:ilvl w:val="0"/>
          <w:numId w:val="2"/>
        </w:numPr>
        <w:spacing w:after="80"/>
      </w:pPr>
      <w:r>
        <w:t xml:space="preserve">What is missing from the drafted Principle that experienced participants would add?</w:t>
      </w:r>
    </w:p>
    <w:p>
      <w:pPr>
        <w:pStyle w:val="Heading3"/>
      </w:pPr>
      <w:r>
        <w:t xml:space="preserve">Session 1.3 · Literature Review Check (30 min)</w:t>
      </w:r>
    </w:p>
    <w:p>
      <w:pPr>
        <w:spacing w:after="160"/>
      </w:pPr>
      <w:r>
        <w:t xml:space="preserve">Structured review of CC-02. Light session because the document is primarily descriptive. Decision points:</w:t>
      </w:r>
    </w:p>
    <w:p>
      <w:pPr>
        <w:pStyle w:val="ListParagraph"/>
        <w:numPr>
          <w:ilvl w:val="0"/>
          <w:numId w:val="2"/>
        </w:numPr>
        <w:spacing w:after="80"/>
      </w:pPr>
      <w:r>
        <w:t xml:space="preserve">Are there foundational works missing?</w:t>
      </w:r>
    </w:p>
    <w:p>
      <w:pPr>
        <w:pStyle w:val="ListParagraph"/>
        <w:numPr>
          <w:ilvl w:val="0"/>
          <w:numId w:val="2"/>
        </w:numPr>
        <w:spacing w:after="80"/>
      </w:pPr>
      <w:r>
        <w:t xml:space="preserve">Is the treatment of the Johnson typology and its critics appropriate?</w:t>
      </w:r>
    </w:p>
    <w:p>
      <w:pPr>
        <w:pStyle w:val="ListParagraph"/>
        <w:numPr>
          <w:ilvl w:val="0"/>
          <w:numId w:val="2"/>
        </w:numPr>
        <w:spacing w:after="80"/>
      </w:pPr>
      <w:r>
        <w:t xml:space="preserve">Is the CTS-2 exclusion explained clearly enough?</w:t>
      </w:r>
    </w:p>
    <w:p>
      <w:pPr>
        <w:pStyle w:val="Heading3"/>
      </w:pPr>
      <w:r>
        <w:t xml:space="preserve">Session 1.4 · Break (15 min)</w:t>
      </w:r>
    </w:p>
    <w:p>
      <w:pPr>
        <w:pStyle w:val="Heading3"/>
      </w:pPr>
      <w:r>
        <w:t xml:space="preserve">Session 1.5 · Screening Protocol Deep-Dive (60 min)</w:t>
      </w:r>
    </w:p>
    <w:p>
      <w:pPr>
        <w:spacing w:after="160"/>
      </w:pPr>
      <w:r>
        <w:t xml:space="preserve">Most consequential session of Day One. Review of CC-03. Specific decisions required:</w:t>
      </w:r>
    </w:p>
    <w:p>
      <w:pPr>
        <w:pStyle w:val="ListParagraph"/>
        <w:numPr>
          <w:ilvl w:val="0"/>
          <w:numId w:val="2"/>
        </w:numPr>
        <w:spacing w:after="80"/>
      </w:pPr>
      <w:r>
        <w:t xml:space="preserve">Are the four tracks' boundaries (A/B/C/D) correctly drawn?</w:t>
      </w:r>
    </w:p>
    <w:p>
      <w:pPr>
        <w:pStyle w:val="ListParagraph"/>
        <w:numPr>
          <w:ilvl w:val="0"/>
          <w:numId w:val="2"/>
        </w:numPr>
        <w:spacing w:after="80"/>
      </w:pPr>
      <w:r>
        <w:t xml:space="preserve">Is the scoring-logic sketch safe to ship for operational piloting?</w:t>
      </w:r>
    </w:p>
    <w:p>
      <w:pPr>
        <w:pStyle w:val="ListParagraph"/>
        <w:numPr>
          <w:ilvl w:val="0"/>
          <w:numId w:val="2"/>
        </w:numPr>
        <w:spacing w:after="80"/>
      </w:pPr>
      <w:r>
        <w:t xml:space="preserve">Are the safety-design provisions (quick-exit, device safety, retention) sufficient?</w:t>
      </w:r>
    </w:p>
    <w:p>
      <w:pPr>
        <w:pStyle w:val="ListParagraph"/>
        <w:numPr>
          <w:ilvl w:val="0"/>
          <w:numId w:val="2"/>
        </w:numPr>
        <w:spacing w:after="80"/>
      </w:pPr>
      <w:r>
        <w:t xml:space="preserve">Does the Track C handling properly avoid harm to targeted parents while not providing cover for controlling parents?</w:t>
      </w:r>
    </w:p>
    <w:p>
      <w:pPr>
        <w:pStyle w:val="ListParagraph"/>
        <w:numPr>
          <w:ilvl w:val="0"/>
          <w:numId w:val="2"/>
        </w:numPr>
        <w:spacing w:after="80"/>
      </w:pPr>
      <w:r>
        <w:t xml:space="preserve">What validation study design is required before the Protocol moves from draft to operational?</w:t>
      </w:r>
    </w:p>
    <w:p>
      <w:pPr>
        <w:spacing w:after="40" w:before="240"/>
      </w:pPr>
      <w:r>
        <w:rPr>
          <w:b/>
          <w:bCs/>
          <w:color w:val="B8371F"/>
          <w:spacing w:val="40"/>
          <w:sz w:val="18"/>
          <w:szCs w:val="18"/>
        </w:rPr>
        <w:t xml:space="preserve">DAY ONE · AFTERNOON</w:t>
      </w:r>
    </w:p>
    <w:p>
      <w:pPr>
        <w:pStyle w:val="Heading1"/>
      </w:pPr>
      <w:r>
        <w:t xml:space="preserve">Metrics and Product (3 hours)</w:t>
      </w:r>
    </w:p>
    <w:p>
      <w:pPr>
        <w:pStyle w:val="Heading3"/>
      </w:pPr>
      <w:r>
        <w:t xml:space="preserve">Session 1.6 · Metric-by-Metric Review (90 min)</w:t>
      </w:r>
    </w:p>
    <w:p>
      <w:pPr>
        <w:spacing w:after="160"/>
      </w:pPr>
      <w:r>
        <w:t xml:space="preserve">Structured walk-through of all twelve new metrics in CC-04. For each metric, facilitator surfaces pre-work comments and the room resolves:</w:t>
      </w:r>
    </w:p>
    <w:p>
      <w:pPr>
        <w:pStyle w:val="ListParagraph"/>
        <w:numPr>
          <w:ilvl w:val="0"/>
          <w:numId w:val="2"/>
        </w:numPr>
        <w:spacing w:after="80"/>
      </w:pPr>
      <w:r>
        <w:t xml:space="preserve">Is the tier assignment correct, or should it be more conservative?</w:t>
      </w:r>
    </w:p>
    <w:p>
      <w:pPr>
        <w:pStyle w:val="ListParagraph"/>
        <w:numPr>
          <w:ilvl w:val="0"/>
          <w:numId w:val="2"/>
        </w:numPr>
        <w:spacing w:after="80"/>
      </w:pPr>
      <w:r>
        <w:t xml:space="preserve">Is the computation defensible?</w:t>
      </w:r>
    </w:p>
    <w:p>
      <w:pPr>
        <w:pStyle w:val="ListParagraph"/>
        <w:numPr>
          <w:ilvl w:val="0"/>
          <w:numId w:val="2"/>
        </w:numPr>
        <w:spacing w:after="80"/>
      </w:pPr>
      <w:r>
        <w:t xml:space="preserve">Are there metrics missing from the proposed twelve?</w:t>
      </w:r>
    </w:p>
    <w:p>
      <w:pPr>
        <w:pStyle w:val="ListParagraph"/>
        <w:numPr>
          <w:ilvl w:val="0"/>
          <w:numId w:val="2"/>
        </w:numPr>
        <w:spacing w:after="80"/>
      </w:pPr>
      <w:r>
        <w:t xml:space="preserve">Are there metrics in the proposed twelve that should be dropped?</w:t>
      </w:r>
    </w:p>
    <w:p>
      <w:pPr>
        <w:spacing w:after="160"/>
      </w:pPr>
      <w:r>
        <w:t xml:space="preserve">Facilitator uses a lightweight green/yellow/red flag system for each metric; metrics flagged red are sent back for substantial revision.</w:t>
      </w:r>
    </w:p>
    <w:p>
      <w:pPr>
        <w:pStyle w:val="Heading3"/>
      </w:pPr>
      <w:r>
        <w:t xml:space="preserve">Session 1.7 · Break (15 min)</w:t>
      </w:r>
    </w:p>
    <w:p>
      <w:pPr>
        <w:pStyle w:val="Heading3"/>
      </w:pPr>
      <w:r>
        <w:t xml:space="preserve">Session 1.8 · Platform Design Decisions (75 min)</w:t>
      </w:r>
    </w:p>
    <w:p>
      <w:pPr>
        <w:spacing w:after="160"/>
      </w:pPr>
      <w:r>
        <w:t xml:space="preserve">Walk-through of CC-05's twelve decision points. For each, the room produces a recommended direction (the platform technical recommendation may or may not survive this session). Decisions are recorded but not finalized; Day Two returns to the most contested.</w:t>
      </w:r>
    </w:p>
    <w:p>
      <w:pPr>
        <w:spacing w:after="40" w:before="240"/>
      </w:pPr>
      <w:r>
        <w:rPr>
          <w:b/>
          <w:bCs/>
          <w:color w:val="B8371F"/>
          <w:spacing w:val="40"/>
          <w:sz w:val="18"/>
          <w:szCs w:val="18"/>
        </w:rPr>
        <w:t xml:space="preserve">DAY ONE · EVENING</w:t>
      </w:r>
    </w:p>
    <w:p>
      <w:pPr>
        <w:pStyle w:val="Heading1"/>
      </w:pPr>
      <w:r>
        <w:t xml:space="preserve">Structured Dinner (optional)</w:t>
      </w:r>
    </w:p>
    <w:p>
      <w:pPr>
        <w:spacing w:after="160"/>
      </w:pPr>
      <w:r>
        <w:t xml:space="preserve">Relationship-building over dinner is often more productive than the formal sessions. Participation is explicitly optional, particularly for survivor-panel participants whose energy should not be extracted beyond the declared-terms day. Dinner is held at a venue the advocacy partners recommend for safety and accessibility.</w:t>
      </w:r>
    </w:p>
    <w:p>
      <w:r>
        <w:br w:type="page"/>
      </w:r>
    </w:p>
    <w:p>
      <w:pPr>
        <w:spacing w:after="40" w:before="240"/>
      </w:pPr>
      <w:r>
        <w:rPr>
          <w:b/>
          <w:bCs/>
          <w:color w:val="B8371F"/>
          <w:spacing w:val="40"/>
          <w:sz w:val="18"/>
          <w:szCs w:val="18"/>
        </w:rPr>
        <w:t xml:space="preserve">DAY TWO · MORNING</w:t>
      </w:r>
    </w:p>
    <w:p>
      <w:pPr>
        <w:pStyle w:val="Heading1"/>
      </w:pPr>
      <w:r>
        <w:t xml:space="preserve">Training, Operationalization, Outstanding Decisions (3 hours)</w:t>
      </w:r>
    </w:p>
    <w:p>
      <w:pPr>
        <w:pStyle w:val="Heading3"/>
      </w:pPr>
      <w:r>
        <w:t xml:space="preserve">Session 2.1 · Training Module Review (60 min)</w:t>
      </w:r>
    </w:p>
    <w:p>
      <w:pPr>
        <w:spacing w:after="160"/>
      </w:pPr>
      <w:r>
        <w:t xml:space="preserve">CC-06 review. Role-extension participants break into small groups for extension-specific review, then reconvene. Decisions:</w:t>
      </w:r>
    </w:p>
    <w:p>
      <w:pPr>
        <w:pStyle w:val="ListParagraph"/>
        <w:numPr>
          <w:ilvl w:val="0"/>
          <w:numId w:val="2"/>
        </w:numPr>
        <w:spacing w:after="80"/>
      </w:pPr>
      <w:r>
        <w:t xml:space="preserve">Is the shared core sufficient?</w:t>
      </w:r>
    </w:p>
    <w:p>
      <w:pPr>
        <w:pStyle w:val="ListParagraph"/>
        <w:numPr>
          <w:ilvl w:val="0"/>
          <w:numId w:val="2"/>
        </w:numPr>
        <w:spacing w:after="80"/>
      </w:pPr>
      <w:r>
        <w:t xml:space="preserve">Are role-extensions appropriately scoped?</w:t>
      </w:r>
    </w:p>
    <w:p>
      <w:pPr>
        <w:pStyle w:val="ListParagraph"/>
        <w:numPr>
          <w:ilvl w:val="0"/>
          <w:numId w:val="2"/>
        </w:numPr>
        <w:spacing w:after="80"/>
      </w:pPr>
      <w:r>
        <w:t xml:space="preserve">Who should lead development of each extension?</w:t>
      </w:r>
    </w:p>
    <w:p>
      <w:pPr>
        <w:pStyle w:val="Heading3"/>
      </w:pPr>
      <w:r>
        <w:t xml:space="preserve">Session 2.2 · Break (15 min)</w:t>
      </w:r>
    </w:p>
    <w:p>
      <w:pPr>
        <w:pStyle w:val="Heading3"/>
      </w:pPr>
      <w:r>
        <w:t xml:space="preserve">Session 2.3 · Outstanding Platform Decisions (60 min)</w:t>
      </w:r>
    </w:p>
    <w:p>
      <w:pPr>
        <w:spacing w:after="160"/>
      </w:pPr>
      <w:r>
        <w:t xml:space="preserve">The most contested CC-05 decisions return for final resolution. Facilitator structures the conversation around specific unresolved tradeoffs, not around rehashing prior debate.</w:t>
      </w:r>
    </w:p>
    <w:p>
      <w:pPr>
        <w:pStyle w:val="Heading3"/>
      </w:pPr>
      <w:r>
        <w:t xml:space="preserve">Session 2.4 · Validation Study Design (45 min)</w:t>
      </w:r>
    </w:p>
    <w:p>
      <w:pPr>
        <w:spacing w:after="160"/>
      </w:pPr>
      <w:r>
        <w:t xml:space="preserve">Decision-heavy session. The Screening Protocol needs validation before operational deployment; the metrics need instrument-level validation before operational adoption. What study, by whom, at what cost, in what partnership structure?</w:t>
      </w:r>
    </w:p>
    <w:p>
      <w:pPr>
        <w:spacing w:after="40" w:before="240"/>
      </w:pPr>
      <w:r>
        <w:rPr>
          <w:b/>
          <w:bCs/>
          <w:color w:val="B8371F"/>
          <w:spacing w:val="40"/>
          <w:sz w:val="18"/>
          <w:szCs w:val="18"/>
        </w:rPr>
        <w:t xml:space="preserve">DAY TWO · AFTERNOON</w:t>
      </w:r>
    </w:p>
    <w:p>
      <w:pPr>
        <w:pStyle w:val="Heading1"/>
      </w:pPr>
      <w:r>
        <w:t xml:space="preserve">Synthesis, Integration, Commitments (3 hours)</w:t>
      </w:r>
    </w:p>
    <w:p>
      <w:pPr>
        <w:pStyle w:val="Heading3"/>
      </w:pPr>
      <w:r>
        <w:t xml:space="preserve">Session 2.5 · Synthesis (60 min)</w:t>
      </w:r>
    </w:p>
    <w:p>
      <w:pPr>
        <w:spacing w:after="160"/>
      </w:pPr>
      <w:r>
        <w:t xml:space="preserve">Facilitator and Doug present a synthesis of convening decisions. Participants confirm or contest. Contested items are documented with specific dissent noted.</w:t>
      </w:r>
    </w:p>
    <w:p>
      <w:pPr>
        <w:pStyle w:val="Heading3"/>
      </w:pPr>
      <w:r>
        <w:t xml:space="preserve">Session 2.6 · Integration with Main Binder (45 min)</w:t>
      </w:r>
    </w:p>
    <w:p>
      <w:pPr>
        <w:spacing w:after="160"/>
      </w:pPr>
      <w:r>
        <w:t xml:space="preserve">How does the CC mini-binder's content become part of the main OSCA outreach binder? Does it? When? In what form?</w:t>
      </w:r>
    </w:p>
    <w:p>
      <w:pPr>
        <w:pStyle w:val="ListParagraph"/>
        <w:numPr>
          <w:ilvl w:val="0"/>
          <w:numId w:val="2"/>
        </w:numPr>
        <w:spacing w:after="80"/>
      </w:pPr>
      <w:r>
        <w:t xml:space="preserve">Option: CC content becomes Binder Docs 22-28, fully integrated.</w:t>
      </w:r>
    </w:p>
    <w:p>
      <w:pPr>
        <w:pStyle w:val="ListParagraph"/>
        <w:numPr>
          <w:ilvl w:val="0"/>
          <w:numId w:val="2"/>
        </w:numPr>
        <w:spacing w:after="80"/>
      </w:pPr>
      <w:r>
        <w:t xml:space="preserve">Option: CC content remains a separate mini-binder distributed only to specific stakeholders (DV organizations, clinicians, survivor-led reviewers).</w:t>
      </w:r>
    </w:p>
    <w:p>
      <w:pPr>
        <w:pStyle w:val="ListParagraph"/>
        <w:numPr>
          <w:ilvl w:val="0"/>
          <w:numId w:val="2"/>
        </w:numPr>
        <w:spacing w:after="80"/>
      </w:pPr>
      <w:r>
        <w:t xml:space="preserve">Option: CC content is not distributed outside the convening until Phase 2.</w:t>
      </w:r>
    </w:p>
    <w:p>
      <w:pPr>
        <w:pStyle w:val="Heading3"/>
      </w:pPr>
      <w:r>
        <w:t xml:space="preserve">Session 2.7 · Commitments and Next Steps (45 min)</w:t>
      </w:r>
    </w:p>
    <w:p>
      <w:pPr>
        <w:spacing w:after="160"/>
      </w:pPr>
      <w:r>
        <w:t xml:space="preserve">Each participant commits to specific post-convening action items. Commitments are recorded publicly. Facilitator schedules follow-up checkpoints.</w:t>
      </w:r>
    </w:p>
    <w:p>
      <w:pPr>
        <w:pStyle w:val="Heading3"/>
      </w:pPr>
      <w:r>
        <w:t xml:space="preserve">Session 2.8 · Closing (30 min)</w:t>
      </w:r>
    </w:p>
    <w:p>
      <w:pPr>
        <w:spacing w:after="160"/>
      </w:pPr>
      <w:r>
        <w:t xml:space="preserve">Facilitated closing. Survivor-panel participants speak first. All participants have the opportunity to name something that shifted for them during the convening. Facilitator closes with gratitude and practical next-step confirmation.</w:t>
      </w:r>
    </w:p>
    <w:p>
      <w:r>
        <w:br w:type="page"/>
      </w:r>
    </w:p>
    <w:p>
      <w:pPr>
        <w:spacing w:after="40" w:before="240"/>
      </w:pPr>
      <w:r>
        <w:rPr>
          <w:b/>
          <w:bCs/>
          <w:color w:val="B8371F"/>
          <w:spacing w:val="40"/>
          <w:sz w:val="18"/>
          <w:szCs w:val="18"/>
        </w:rPr>
        <w:t xml:space="preserve">POST-CONVENING</w:t>
      </w:r>
    </w:p>
    <w:p>
      <w:pPr>
        <w:pStyle w:val="Heading1"/>
      </w:pPr>
      <w:r>
        <w:t xml:space="preserve">What Happens After</w:t>
      </w:r>
    </w:p>
    <w:p>
      <w:pPr>
        <w:pStyle w:val="ListParagraph"/>
        <w:numPr>
          <w:ilvl w:val="0"/>
          <w:numId w:val="2"/>
        </w:numPr>
        <w:spacing w:after="80"/>
      </w:pPr>
      <w:r>
        <w:t xml:space="preserve">Doug and facilitator produce a Convening Outcomes document within two weeks.</w:t>
      </w:r>
    </w:p>
    <w:p>
      <w:pPr>
        <w:pStyle w:val="ListParagraph"/>
        <w:numPr>
          <w:ilvl w:val="0"/>
          <w:numId w:val="2"/>
        </w:numPr>
        <w:spacing w:after="80"/>
      </w:pPr>
      <w:r>
        <w:t xml:space="preserve">Each of the six mini-binder documents is revised to reflect convening decisions.</w:t>
      </w:r>
    </w:p>
    <w:p>
      <w:pPr>
        <w:pStyle w:val="ListParagraph"/>
        <w:numPr>
          <w:ilvl w:val="0"/>
          <w:numId w:val="2"/>
        </w:numPr>
        <w:spacing w:after="80"/>
      </w:pPr>
      <w:r>
        <w:t xml:space="preserve">Revised documents circulate back to participants for 14-day comment.</w:t>
      </w:r>
    </w:p>
    <w:p>
      <w:pPr>
        <w:pStyle w:val="ListParagraph"/>
        <w:numPr>
          <w:ilvl w:val="0"/>
          <w:numId w:val="2"/>
        </w:numPr>
        <w:spacing w:after="80"/>
      </w:pPr>
      <w:r>
        <w:t xml:space="preserve">After comment resolution, documents are labeled "Reviewed" and the expert-review banners are either removed or replaced with a "Reviewed by [date], by the Expert Review Convening" banner.</w:t>
      </w:r>
    </w:p>
    <w:p>
      <w:pPr>
        <w:pStyle w:val="ListParagraph"/>
        <w:numPr>
          <w:ilvl w:val="0"/>
          <w:numId w:val="2"/>
        </w:numPr>
        <w:spacing w:after="80"/>
      </w:pPr>
      <w:r>
        <w:t xml:space="preserve">The Methodology Board and Data Ethics Review formally receive the revised documents as inputs to their own adoption processes.</w:t>
      </w:r>
    </w:p>
    <w:p>
      <w:pPr>
        <w:spacing w:after="40" w:before="240"/>
      </w:pPr>
      <w:r>
        <w:rPr>
          <w:b/>
          <w:bCs/>
          <w:color w:val="B8371F"/>
          <w:spacing w:val="40"/>
          <w:sz w:val="18"/>
          <w:szCs w:val="18"/>
        </w:rPr>
        <w:t xml:space="preserve">BUDGET</w:t>
      </w:r>
    </w:p>
    <w:p>
      <w:pPr>
        <w:pStyle w:val="Heading1"/>
      </w:pPr>
      <w:r>
        <w:t xml:space="preserve">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LINE ITEM</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ESTIMATE</w:t>
            </w:r>
          </w:p>
        </w:tc>
        <w:tc>
          <w:tcPr>
            <w:tcW w:type="dxa" w:w="3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NOTES</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Facilitator (2 days prep, 2 days on-site, 1 day follow-up)</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$8,000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Specialist in advocacy-survivor-clinician bridging</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Survivor panel (4 × $500 × 2 days)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$4,000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Plus travel for panel participants</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Clinician honoraria (2 × $1,500)</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Pre-work plus convening participation</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Expert participant honoraria (8 × $750)</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$6,000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Non-panel participants</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Venue, meals, materials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$5,500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Accessible, safe venue per advocacy partner recommendation</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Pre-work preparation (Doug + facilitator time)</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In-kind</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Absorbed in adoption budget</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Travel for out-of-town participants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$4,000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Up to 6 participants</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TOTAL</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$30,500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Funded through Adoption budget (see Doc 13/21)</w:t>
            </w:r>
          </w:p>
        </w:tc>
      </w:tr>
    </w:tbl>
    <w:p>
      <w:pPr>
        <w:spacing w:after="160"/>
      </w:pPr>
      <w:r>
        <w:t xml:space="preserve">The convening is a non-trivial investment. It is also the mechanism by which the mini-binder's content becomes trustworthy. Skipping or under-investing in the convening does not save the cost; it shifts the cost to survivors whose interests are at stake.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CC-07 · EXPERT REVIEW CONVENING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2026-04-21T02:13:51.444Z</dcterms:created>
  <dcterms:modified xsi:type="dcterms:W3CDTF">2026-04-21T02:13:51.444Z</dcterms:modified>
</cp:coreProperties>
</file>

<file path=docProps/custom.xml><?xml version="1.0" encoding="utf-8"?>
<Properties xmlns="http://schemas.openxmlformats.org/officeDocument/2006/custom-properties" xmlns:vt="http://schemas.openxmlformats.org/officeDocument/2006/docPropsVTypes"/>
</file>