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/>
          <w:bCs/>
        </w:rPr>
        <w:t>FIAP</w:t>
      </w:r>
    </w:p>
    <w:p>
      <w:pPr>
        <w:pStyle w:val="normal1"/>
        <w:spacing w:lineRule="auto" w:line="240" w:before="480" w:after="0"/>
        <w:ind w:hanging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/>
        <w:t xml:space="preserve">Davi de Aquino Barbosa, RM375716 </w:t>
        <w:br/>
        <w:t xml:space="preserve">Douglas Martins de Medeiros Costa, RM377136 </w:t>
        <w:br/>
        <w:t>Everton de Souza, RM377988</w:t>
        <w:br/>
        <w:t>Elton dos Santos, RM376425</w:t>
        <w:br/>
        <w:t>Luiz Ricardo Marquesete de Barros, RM376994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360" w:before="420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TECH CHALLENGE – FASE 1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: sistema de apoio ao diagnóstico com Machine Learning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360" w:before="36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Relatório técnico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hanging="0" w:start="0" w:end="0"/>
        <w:jc w:val="center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hanging="0" w:start="0" w:end="0"/>
        <w:jc w:val="center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hanging="0" w:start="0" w:end="0"/>
        <w:jc w:val="center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hanging="0" w:start="0" w:end="0"/>
        <w:jc w:val="center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hanging="0" w:start="0" w:end="0"/>
        <w:jc w:val="center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hanging="0" w:start="0" w:end="0"/>
        <w:jc w:val="center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hanging="0" w:start="0" w:end="0"/>
        <w:jc w:val="center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hanging="0" w:start="0" w:end="0"/>
        <w:jc w:val="center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hanging="0" w:start="0" w:end="0"/>
        <w:jc w:val="center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hanging="0" w:start="0" w:end="0"/>
        <w:jc w:val="center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hanging="0" w:start="0" w:end="0"/>
        <w:jc w:val="center"/>
        <w:rPr/>
      </w:pPr>
      <w:r>
        <w:rPr/>
      </w:r>
    </w:p>
    <w:p>
      <w:pPr>
        <w:pStyle w:val="normal1"/>
        <w:ind w:hanging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/>
        <w:jc w:val="center"/>
        <w:rPr/>
      </w:pPr>
      <w:r>
        <w:rPr>
          <w:b/>
          <w:bCs/>
        </w:rPr>
        <w:t>FIAP</w:t>
      </w:r>
    </w:p>
    <w:p>
      <w:pPr>
        <w:pStyle w:val="normal1"/>
        <w:spacing w:lineRule="auto" w:line="240" w:before="480" w:after="0"/>
        <w:ind w:hanging="0"/>
        <w:jc w:val="center"/>
        <w:rPr/>
      </w:pPr>
      <w:r>
        <w:rPr/>
        <w:t xml:space="preserve">Davi de Aquino Barbosa, RM375716 </w:t>
        <w:br/>
        <w:t xml:space="preserve">Douglas Martins de Medeiros Costa, RM377136 </w:t>
        <w:br/>
        <w:t>Everton de Souza, RM377988</w:t>
        <w:br/>
        <w:t>Elton dos Santos, RM376425</w:t>
        <w:br/>
        <w:t>Luiz Ricardo Marquesete de Barros, RM376994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360" w:before="360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TECH CHALLENGE – FASE 1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: sistema de apoio ao diagnóstico com Machine Learning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1800" w:after="0"/>
        <w:ind w:hanging="0" w:start="4536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Relatório técnico da Fase 1 do Tech Challenge, apresentado ao curso de Pós-graduação em Inteligência Artificial. Problema: classificação binária de tumor maligno ou benigno, com o dataset Breast Cancer Wisconsin (Diagnostic).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360" w:before="420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  <w:r>
        <w:br w:type="page"/>
      </w:r>
    </w:p>
    <w:p>
      <w:pPr>
        <w:pStyle w:val="normal1"/>
        <w:keepNext w:val="true"/>
        <w:keepLines w:val="false"/>
        <w:widowControl/>
        <w:shd w:val="clear" w:fill="auto"/>
        <w:spacing w:lineRule="auto" w:line="360" w:before="0" w:after="360"/>
        <w:ind w:hanging="0" w:start="0" w:end="0"/>
        <w:jc w:val="center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SUMÁRIO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1"/>
            <w:keepNext w:val="false"/>
            <w:keepLines w:val="false"/>
            <w:pageBreakBefore w:val="false"/>
            <w:widowControl/>
            <w:tabs>
              <w:tab w:val="clear" w:pos="720"/>
              <w:tab w:val="right" w:pos="9071" w:leader="none"/>
            </w:tabs>
            <w:spacing w:lineRule="auto" w:line="360" w:before="0" w:after="0"/>
            <w:ind w:hanging="0" w:start="0" w:end="0"/>
            <w:jc w:val="start"/>
            <w:rPr>
              <w:rFonts w:ascii="Times New Roman" w:hAnsi="Times New Roman"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pPr>
          <w:r>
            <w:fldChar w:fldCharType="begin"/>
          </w:r>
          <w:r>
            <w:rPr>
              <w:rFonts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instrText xml:space="preserve"> TOC \z \o "1-9" \u \t "heading 1,1,heading 2,2" \h</w:instrText>
          </w:r>
          <w:r>
            <w:rPr>
              <w:rFonts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fldChar w:fldCharType="separate"/>
          </w:r>
          <w:r>
            <w:rPr>
              <w:rFonts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>1 INTRODUÇÃO E DEFINIÇÃO DO PROBLEMA</w:t>
            <w:tab/>
            <w:t>4</w:t>
          </w:r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20"/>
              <w:tab w:val="right" w:pos="9071" w:leader="none"/>
            </w:tabs>
            <w:spacing w:lineRule="auto" w:line="360" w:before="0" w:after="0"/>
            <w:ind w:hanging="0" w:start="0" w:end="0"/>
            <w:jc w:val="start"/>
            <w:rPr>
              <w:rFonts w:ascii="Times New Roman" w:hAnsi="Times New Roman"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>2 EXPLORAÇÃO DE DADOS (EDA)</w:t>
            <w:tab/>
            <w:t>4</w:t>
          </w:r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20"/>
              <w:tab w:val="right" w:pos="9071" w:leader="none"/>
            </w:tabs>
            <w:spacing w:lineRule="auto" w:line="360" w:before="0" w:after="0"/>
            <w:ind w:hanging="0" w:start="0" w:end="0"/>
            <w:jc w:val="start"/>
            <w:rPr>
              <w:rFonts w:ascii="Times New Roman" w:hAnsi="Times New Roman" w:eastAsia="Times New Roman" w:cs="Times New Roman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>2.1 Estatísticas descritivas e distribuições</w:t>
            <w:tab/>
            <w:t>5</w:t>
          </w:r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20"/>
              <w:tab w:val="right" w:pos="9071" w:leader="none"/>
            </w:tabs>
            <w:spacing w:lineRule="auto" w:line="360" w:before="0" w:after="0"/>
            <w:ind w:hanging="0" w:start="0" w:end="0"/>
            <w:jc w:val="start"/>
            <w:rPr>
              <w:rFonts w:ascii="Times New Roman" w:hAnsi="Times New Roman" w:eastAsia="Times New Roman" w:cs="Times New Roman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>2.2 Análise de correlação</w:t>
            <w:tab/>
            <w:t>8</w:t>
          </w:r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20"/>
              <w:tab w:val="right" w:pos="9071" w:leader="none"/>
            </w:tabs>
            <w:spacing w:lineRule="auto" w:line="360" w:before="0" w:after="0"/>
            <w:ind w:hanging="0" w:start="0" w:end="0"/>
            <w:jc w:val="start"/>
            <w:rPr>
              <w:rFonts w:ascii="Times New Roman" w:hAnsi="Times New Roman"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>3 ESTRATÉGIAS DE PRÉ-PROCESSAMENTO</w:t>
            <w:tab/>
            <w:t>9</w:t>
          </w:r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20"/>
              <w:tab w:val="right" w:pos="9071" w:leader="none"/>
            </w:tabs>
            <w:spacing w:lineRule="auto" w:line="360" w:before="0" w:after="0"/>
            <w:ind w:hanging="0" w:start="0" w:end="0"/>
            <w:jc w:val="start"/>
            <w:rPr>
              <w:rFonts w:ascii="Times New Roman" w:hAnsi="Times New Roman" w:eastAsia="Times New Roman" w:cs="Times New Roman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>3.1 Limpeza e valores ausentes</w:t>
            <w:tab/>
            <w:t>9</w:t>
          </w:r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20"/>
              <w:tab w:val="right" w:pos="9071" w:leader="none"/>
            </w:tabs>
            <w:spacing w:lineRule="auto" w:line="360" w:before="0" w:after="0"/>
            <w:ind w:hanging="0" w:start="0" w:end="0"/>
            <w:jc w:val="start"/>
            <w:rPr>
              <w:rFonts w:ascii="Times New Roman" w:hAnsi="Times New Roman" w:eastAsia="Times New Roman" w:cs="Times New Roman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>3.2 Codificação da variável alvo</w:t>
            <w:tab/>
            <w:t>9</w:t>
          </w:r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20"/>
              <w:tab w:val="right" w:pos="9071" w:leader="none"/>
            </w:tabs>
            <w:spacing w:lineRule="auto" w:line="360" w:before="0" w:after="0"/>
            <w:ind w:hanging="0" w:start="0" w:end="0"/>
            <w:jc w:val="start"/>
            <w:rPr>
              <w:rFonts w:ascii="Times New Roman" w:hAnsi="Times New Roman" w:eastAsia="Times New Roman" w:cs="Times New Roman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>3.3 Separação treino / validação / teste</w:t>
            <w:tab/>
            <w:t>9</w:t>
          </w:r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20"/>
              <w:tab w:val="right" w:pos="9071" w:leader="none"/>
            </w:tabs>
            <w:spacing w:lineRule="auto" w:line="360" w:before="0" w:after="0"/>
            <w:ind w:hanging="0" w:start="0" w:end="0"/>
            <w:jc w:val="start"/>
            <w:rPr>
              <w:rFonts w:ascii="Times New Roman" w:hAnsi="Times New Roman" w:eastAsia="Times New Roman" w:cs="Times New Roman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>3.4 Pipeline de transformação</w:t>
            <w:tab/>
            <w:t>10</w:t>
          </w:r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20"/>
              <w:tab w:val="right" w:pos="9071" w:leader="none"/>
            </w:tabs>
            <w:spacing w:lineRule="auto" w:line="360" w:before="0" w:after="0"/>
            <w:ind w:hanging="0" w:start="0" w:end="0"/>
            <w:jc w:val="start"/>
            <w:rPr>
              <w:rFonts w:ascii="Times New Roman" w:hAnsi="Times New Roman"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>4 MODELOS UTILIZADOS E JUSTIFICATIVA</w:t>
            <w:tab/>
            <w:t>10</w:t>
          </w:r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20"/>
              <w:tab w:val="right" w:pos="9071" w:leader="none"/>
            </w:tabs>
            <w:spacing w:lineRule="auto" w:line="360" w:before="0" w:after="0"/>
            <w:ind w:hanging="0" w:start="0" w:end="0"/>
            <w:jc w:val="start"/>
            <w:rPr>
              <w:rFonts w:ascii="Times New Roman" w:hAnsi="Times New Roman" w:eastAsia="Times New Roman" w:cs="Times New Roman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>4.1 Regressão Logística (modelo principal)</w:t>
            <w:tab/>
            <w:t>10</w:t>
          </w:r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20"/>
              <w:tab w:val="right" w:pos="9071" w:leader="none"/>
            </w:tabs>
            <w:spacing w:lineRule="auto" w:line="360" w:before="0" w:after="0"/>
            <w:ind w:hanging="0" w:start="0" w:end="0"/>
            <w:jc w:val="start"/>
            <w:rPr>
              <w:rFonts w:ascii="Times New Roman" w:hAnsi="Times New Roman" w:eastAsia="Times New Roman" w:cs="Times New Roman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>4.2 K-Nearest Neighbors (KNN)</w:t>
            <w:tab/>
            <w:t>11</w:t>
          </w:r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20"/>
              <w:tab w:val="right" w:pos="9071" w:leader="none"/>
            </w:tabs>
            <w:spacing w:lineRule="auto" w:line="360" w:before="0" w:after="0"/>
            <w:ind w:hanging="0" w:start="0" w:end="0"/>
            <w:jc w:val="start"/>
            <w:rPr>
              <w:rFonts w:ascii="Times New Roman" w:hAnsi="Times New Roman"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>5 TREINAMENTO, AVALIAÇÃO E INTERPRETAÇÃO DOS RESULTADOS</w:t>
            <w:tab/>
            <w:t>11</w:t>
          </w:r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20"/>
              <w:tab w:val="right" w:pos="9071" w:leader="none"/>
            </w:tabs>
            <w:spacing w:lineRule="auto" w:line="360" w:before="0" w:after="0"/>
            <w:ind w:hanging="0" w:start="0" w:end="0"/>
            <w:jc w:val="start"/>
            <w:rPr>
              <w:rFonts w:ascii="Times New Roman" w:hAnsi="Times New Roman" w:eastAsia="Times New Roman" w:cs="Times New Roman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>5.1 Escolha da métrica</w:t>
            <w:tab/>
            <w:t>11</w:t>
          </w:r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20"/>
              <w:tab w:val="right" w:pos="9071" w:leader="none"/>
            </w:tabs>
            <w:spacing w:lineRule="auto" w:line="360" w:before="0" w:after="0"/>
            <w:ind w:hanging="0" w:start="0" w:end="0"/>
            <w:jc w:val="start"/>
            <w:rPr>
              <w:rFonts w:ascii="Times New Roman" w:hAnsi="Times New Roman" w:eastAsia="Times New Roman" w:cs="Times New Roman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>5.2 Resultados no conjunto de validação</w:t>
            <w:tab/>
            <w:t>12</w:t>
          </w:r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20"/>
              <w:tab w:val="right" w:pos="9071" w:leader="none"/>
            </w:tabs>
            <w:spacing w:lineRule="auto" w:line="360" w:before="0" w:after="0"/>
            <w:ind w:hanging="0" w:start="0" w:end="0"/>
            <w:jc w:val="start"/>
            <w:rPr>
              <w:rFonts w:ascii="Times New Roman" w:hAnsi="Times New Roman" w:eastAsia="Times New Roman" w:cs="Times New Roman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>5.3 Avaliação final no conjunto de teste</w:t>
            <w:tab/>
            <w:t>12</w:t>
          </w:r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20"/>
              <w:tab w:val="right" w:pos="9071" w:leader="none"/>
            </w:tabs>
            <w:spacing w:lineRule="auto" w:line="360" w:before="0" w:after="0"/>
            <w:ind w:hanging="0" w:start="0" w:end="0"/>
            <w:jc w:val="start"/>
            <w:rPr>
              <w:rFonts w:ascii="Times New Roman" w:hAnsi="Times New Roman" w:eastAsia="Times New Roman" w:cs="Times New Roman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>5.4 Interpretabilidade (coeficientes)</w:t>
            <w:tab/>
            <w:t>14</w:t>
          </w:r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20"/>
              <w:tab w:val="right" w:pos="9071" w:leader="none"/>
            </w:tabs>
            <w:spacing w:lineRule="auto" w:line="360" w:before="0" w:after="0"/>
            <w:ind w:hanging="0" w:start="0" w:end="0"/>
            <w:jc w:val="start"/>
            <w:rPr>
              <w:rFonts w:ascii="Times New Roman" w:hAnsi="Times New Roman"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>6 DISCUSSÃO CRÍTICA E APLICABILIDADE PRÁTICA</w:t>
            <w:tab/>
            <w:t>15</w:t>
          </w:r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20"/>
              <w:tab w:val="right" w:pos="9071" w:leader="none"/>
            </w:tabs>
            <w:spacing w:lineRule="auto" w:line="360" w:before="0" w:after="0"/>
            <w:ind w:hanging="0" w:start="0" w:end="0"/>
            <w:jc w:val="start"/>
            <w:rPr>
              <w:rFonts w:ascii="Times New Roman" w:hAnsi="Times New Roman"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>7 CONCLUSÃO</w:t>
            <w:tab/>
            <w:t>16</w:t>
          </w:r>
          <w:r>
            <w:rPr>
              <w:rFonts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fldChar w:fldCharType="end"/>
          </w:r>
        </w:p>
        <w:p>
          <w:pPr>
            <w:sectPr>
              <w:type w:val="nextPage"/>
              <w:pgSz w:w="11906" w:h="16838"/>
              <w:pgMar w:left="1701" w:right="1134" w:gutter="0" w:header="0" w:top="1701" w:footer="0" w:bottom="1134"/>
              <w:pgNumType w:start="1" w:fmt="decimal"/>
              <w:formProt w:val="false"/>
              <w:textDirection w:val="lrTb"/>
              <w:docGrid w:type="default" w:linePitch="100" w:charSpace="0"/>
            </w:sectPr>
          </w:pPr>
        </w:p>
      </w:sdtContent>
    </w:sdt>
    <w:p>
      <w:pPr>
        <w:pStyle w:val="Heading1"/>
        <w:rPr/>
      </w:pPr>
      <w:r>
        <w:rPr/>
        <w:t>1 INTRODUÇÃO E DEFINIÇÃO DO PROBLEMA</w:t>
      </w:r>
    </w:p>
    <w:p>
      <w:pPr>
        <w:pStyle w:val="normal1"/>
        <w:rPr/>
      </w:pPr>
      <w:r>
        <w:rPr/>
        <w:t>Este relatório documenta a Fase 1 do Tech Challenge, cujo objetivo é construir a base de um sistema de apoio ao diagnóstico médico utilizando Machine Learning. O hospital universitário descrito no desafio enfrenta um volume crescente de exames e busca uma solução que auxilie a triagem inicial de pacientes, reduzindo o tempo de resposta e apoiando (sem substituir) a decisão clínica.</w:t>
      </w:r>
    </w:p>
    <w:p>
      <w:pPr>
        <w:pStyle w:val="normal1"/>
        <w:rPr/>
      </w:pPr>
      <w:r>
        <w:rPr/>
        <w:t xml:space="preserve">Para esta fase, foi escolhido o dataset público </w:t>
      </w:r>
      <w:r>
        <w:rPr>
          <w:b/>
          <w:bCs/>
        </w:rPr>
        <w:t>Breast Cancer Wisconsin (Diagnostic)</w:t>
      </w:r>
      <w:r>
        <w:rPr/>
        <w:t>, amplamente utilizado como benchmark acadêmico para classificação binária de diagnóstico de câncer de mama (maligno ou benigno). Os dados são 30 características numéricas calculadas a partir de imagens digitalizadas de punção aspirativa por agulha fina (PAAF) de massas mamárias, descrevendo os núcleos celulares (raio, textura, perímetro, área, suavidade, compacidade, concavidade, pontos côncavos, simetria e dimensão fractal), cada uma em três versões: média (mean), erro padrão (se) e pior valor (worst).</w:t>
      </w:r>
    </w:p>
    <w:p>
      <w:pPr>
        <w:pStyle w:val="normal1"/>
        <w:rPr/>
      </w:pPr>
      <w:r>
        <w:rPr/>
        <w:t>Em síntese, o conjunto de dados apresenta as seguintes características: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hanging="567" w:start="1134" w:end="0"/>
        <w:jc w:val="both"/>
        <w:rPr/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fonte: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UCI Machine Learning Repository / Kaggle (uciml/breast-cancer-wisconsin-data); cópia local em database/data.csv;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hanging="567" w:start="1134" w:end="0"/>
        <w:jc w:val="both"/>
        <w:rPr/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amostras: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569 registros — 357 benignos (62,7%) e 212 malignos (37,3%);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hanging="567" w:start="1134" w:end="0"/>
        <w:jc w:val="both"/>
        <w:rPr/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variáveis: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30 características numéricas contínuas + variável alvo diagnosis (B = benigno, M = maligno);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hanging="567" w:start="1134" w:end="0"/>
        <w:jc w:val="both"/>
        <w:rPr/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tipo de problema: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classificação supervisionada binária, com a classe maligna tratada como classe positiva.</w:t>
      </w:r>
    </w:p>
    <w:p>
      <w:pPr>
        <w:pStyle w:val="normal1"/>
        <w:rPr/>
      </w:pPr>
      <w:r>
        <w:rPr/>
        <w:t>As informações gerais do projeto estão reunidas no Quadro 1.</w:t>
      </w:r>
    </w:p>
    <w:p>
      <w:pPr>
        <w:pStyle w:val="normal1"/>
        <w:keepNext w:val="true"/>
        <w:keepLines/>
        <w:pageBreakBefore w:val="false"/>
        <w:widowControl/>
        <w:shd w:val="clear" w:fill="auto"/>
        <w:spacing w:lineRule="auto" w:line="240" w:before="240" w:after="12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Quadro 1 – Informações gerais do projeto</w:t>
      </w:r>
    </w:p>
    <w:tbl>
      <w:tblPr>
        <w:tblStyle w:val="Table1"/>
        <w:tblW w:w="895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490"/>
        <w:gridCol w:w="6460"/>
      </w:tblGrid>
      <w:tr>
        <w:trPr>
          <w:cantSplit/>
        </w:trPr>
        <w:tc>
          <w:tcPr>
            <w:tcW w:w="2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tru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Curso</w:t>
            </w:r>
          </w:p>
        </w:tc>
        <w:tc>
          <w:tcPr>
            <w:tcW w:w="6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tru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Pós-graduação em Inteligência Artificial</w:t>
            </w:r>
          </w:p>
        </w:tc>
      </w:tr>
      <w:tr>
        <w:trPr>
          <w:cantSplit/>
        </w:trPr>
        <w:tc>
          <w:tcPr>
            <w:tcW w:w="2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tru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Dataset utilizado</w:t>
            </w:r>
          </w:p>
        </w:tc>
        <w:tc>
          <w:tcPr>
            <w:tcW w:w="6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tru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Breast Cancer Wisconsin (Diagnostic)</w:t>
            </w:r>
          </w:p>
        </w:tc>
      </w:tr>
      <w:tr>
        <w:trPr>
          <w:cantSplit/>
        </w:trPr>
        <w:tc>
          <w:tcPr>
            <w:tcW w:w="2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tru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Problema</w:t>
            </w:r>
          </w:p>
        </w:tc>
        <w:tc>
          <w:tcPr>
            <w:tcW w:w="6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tru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Classificação binária — tumor maligno ou benigno</w:t>
            </w:r>
          </w:p>
        </w:tc>
      </w:tr>
      <w:tr>
        <w:trPr>
          <w:cantSplit/>
        </w:trPr>
        <w:tc>
          <w:tcPr>
            <w:tcW w:w="2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tru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start"/>
              <w:rPr>
                <w:rFonts w:ascii="Times New Roman" w:hAnsi="Times New Roman"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Link COLAB</w:t>
            </w:r>
          </w:p>
        </w:tc>
        <w:tc>
          <w:tcPr>
            <w:tcW w:w="6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true"/>
              <w:keepLines w:val="false"/>
              <w:widowControl/>
              <w:shd w:val="clear" w:fill="auto"/>
              <w:bidi w:val="0"/>
              <w:spacing w:lineRule="auto" w:line="240" w:before="40" w:after="4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https://colab.research.google.com/drive/1GL6NSUKcgPTa72Q3Nir3c4PeFhADeiqv?usp=sharing</w:t>
            </w:r>
          </w:p>
        </w:tc>
      </w:tr>
      <w:tr>
        <w:trPr>
          <w:cantSplit/>
        </w:trPr>
        <w:tc>
          <w:tcPr>
            <w:tcW w:w="24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tru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Repositório Git</w:t>
            </w:r>
          </w:p>
        </w:tc>
        <w:tc>
          <w:tcPr>
            <w:tcW w:w="6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tru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https://github.com/douglas-mcosta/fiap-tech-challenge-fase01</w:t>
            </w:r>
          </w:p>
        </w:tc>
      </w:tr>
      <w:tr>
        <w:trPr>
          <w:cantSplit/>
        </w:trPr>
        <w:tc>
          <w:tcPr>
            <w:tcW w:w="2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Vídeo de demonstração</w:t>
            </w:r>
          </w:p>
        </w:tc>
        <w:tc>
          <w:tcPr>
            <w:tcW w:w="6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bidi w:val="0"/>
              <w:spacing w:lineRule="auto" w:line="240" w:before="40" w:after="4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https://youtu.be/u6v3HpFrPJ0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60" w:after="24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Heading1"/>
        <w:rPr/>
      </w:pPr>
      <w:r>
        <w:rPr/>
        <w:t>2 EXPLORAÇÃO DE DADOS (EDA)</w:t>
      </w:r>
    </w:p>
    <w:p>
      <w:pPr>
        <w:pStyle w:val="normal1"/>
        <w:rPr/>
      </w:pPr>
      <w:r>
        <w:rPr/>
        <w:t>O arquivo original possui 569 linhas e 33 colunas. Além das 30 características e do diagnóstico, há a coluna id (identificador do paciente, sem valor preditivo) e a coluna Unnamed: 32, totalmente vazia (artefato do arquivo CSV). Ambas foram removidas, restando 569 registros e 31 colunas. Após essa limpeza, a verificação não encontrou valores ausentes nem registros duplicados, e todas as variáveis preditoras são numéricas contínuas, o que simplifica o pré-processamento.</w:t>
      </w:r>
    </w:p>
    <w:p>
      <w:pPr>
        <w:pStyle w:val="normal1"/>
        <w:keepNext w:val="true"/>
        <w:keepLines/>
        <w:pageBreakBefore w:val="false"/>
        <w:widowControl/>
        <w:shd w:val="clear" w:fill="auto"/>
        <w:spacing w:lineRule="auto" w:line="240" w:before="240" w:after="12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Figura 1 – Distribuição dos diagnósticos (0 = benigno, 1 = maligno).</w:t>
      </w:r>
    </w:p>
    <w:p>
      <w:pPr>
        <w:pStyle w:val="normal1"/>
        <w:keepNext w:val="true"/>
        <w:keepLines w:val="false"/>
        <w:pageBreakBefore w:val="false"/>
        <w:widowControl/>
        <w:shd w:val="clear" w:fill="auto"/>
        <w:spacing w:lineRule="auto" w:line="240" w:before="0" w:after="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2879725" cy="229108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2291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60" w:after="24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rPr/>
      </w:pPr>
      <w:r>
        <w:rPr/>
        <w:t>A base apresenta desbalanceamento moderado: 62,7% de casos benignos contra 37,3% de malignos. Esse desbalanceamento foi considerado na estratégia de divisão dos dados (Seção 3.3) e na escolha das métricas de avaliação (Seção 5.1).</w:t>
      </w:r>
    </w:p>
    <w:p>
      <w:pPr>
        <w:pStyle w:val="Heading2"/>
        <w:rPr/>
      </w:pPr>
      <w:r>
        <w:rPr/>
        <w:t>2.1 Estatísticas descritivas e distribuições</w:t>
      </w:r>
    </w:p>
    <w:p>
      <w:pPr>
        <w:pStyle w:val="normal1"/>
        <w:rPr/>
      </w:pPr>
      <w:r>
        <w:rPr/>
        <w:t>As estatísticas descritivas mostram escalas muito diferentes entre as variáveis. Por exemplo, area_mean tem média de 654,9 e máximo de 2.501, enquanto smoothness_mean tem média de 0,096 e desvio padrão de 0,014. Em várias variáveis a média é maior do que a mediana (em perimeter_mean, 91,97 contra 86,24), indicando valores altos que puxam a média para cima.</w:t>
      </w:r>
    </w:p>
    <w:p>
      <w:pPr>
        <w:pStyle w:val="normal1"/>
        <w:keepNext w:val="true"/>
        <w:keepLines/>
        <w:pageBreakBefore w:val="false"/>
        <w:widowControl/>
        <w:shd w:val="clear" w:fill="auto"/>
        <w:spacing w:lineRule="auto" w:line="240" w:before="240" w:after="12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Figura 2 – Distribuições das 30 variáveis numéricas.</w:t>
      </w:r>
    </w:p>
    <w:p>
      <w:pPr>
        <w:pStyle w:val="normal1"/>
        <w:keepNext w:val="true"/>
        <w:keepLines w:val="false"/>
        <w:pageBreakBefore w:val="false"/>
        <w:widowControl/>
        <w:shd w:val="clear" w:fill="auto"/>
        <w:spacing w:lineRule="auto" w:line="240" w:before="0" w:after="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5579745" cy="5711190"/>
            <wp:effectExtent l="0" t="0" r="0" b="0"/>
            <wp:docPr id="2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7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5711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60" w:after="24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rPr/>
      </w:pPr>
      <w:r>
        <w:rPr/>
        <w:t>Os histogramas confirmam que a maior parte das variáveis tem distribuição assimétrica à direita, com cauda longa: 22 das 30 variáveis têm assimetria (skewness) superior a 1. A diferença de escala entre as variáveis reforça a necessidade do escalonamento aplicado no pré-processamento.</w:t>
      </w:r>
    </w:p>
    <w:p>
      <w:pPr>
        <w:pStyle w:val="normal1"/>
        <w:keepNext w:val="true"/>
        <w:keepLines/>
        <w:pageBreakBefore w:val="false"/>
        <w:widowControl/>
        <w:shd w:val="clear" w:fill="auto"/>
        <w:spacing w:lineRule="auto" w:line="240" w:before="240" w:after="12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Figura 3 – Boxplots das variáveis numéricas.</w:t>
      </w:r>
    </w:p>
    <w:p>
      <w:pPr>
        <w:pStyle w:val="normal1"/>
        <w:keepNext w:val="true"/>
        <w:keepLines w:val="false"/>
        <w:pageBreakBefore w:val="false"/>
        <w:widowControl/>
        <w:shd w:val="clear" w:fill="auto"/>
        <w:spacing w:lineRule="auto" w:line="240" w:before="0" w:after="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5579745" cy="4726305"/>
            <wp:effectExtent l="0" t="0" r="0" b="0"/>
            <wp:docPr id="3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8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4726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60" w:after="24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rPr/>
      </w:pPr>
      <w:r>
        <w:rPr/>
        <w:t>Os boxplots (Figura 3) evidenciam valores extremos em diversas características, especialmente nas medidas de erro padrão (area_se, radius_se, perimeter_se) e em area_worst. Esses valores foram mantidos: um valor distante dos demais não é necessariamente um erro de medição e pode ser justamente o sinal que distingue tumores malignos. Comparando os diagnósticos (Figura 4), os casos malignos tendem a ter valores maiores nas medidas de tamanho e irregularidade. Em perimeter_mean, por exemplo, a média é de 115,4 nos malignos contra 78,1 nos benignos, mas há uma faixa em que os dois grupos se sobrepõem, de modo que essa característica isolada não separa todos os diagnósticos.</w:t>
      </w:r>
    </w:p>
    <w:p>
      <w:pPr>
        <w:pStyle w:val="normal1"/>
        <w:keepNext w:val="true"/>
        <w:keepLines/>
        <w:pageBreakBefore w:val="false"/>
        <w:widowControl/>
        <w:shd w:val="clear" w:fill="auto"/>
        <w:spacing w:lineRule="auto" w:line="240" w:before="240" w:after="12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Figura 4 – Distribuição de perimeter_mean por diagnóstico (histograma em densidade e boxplot).</w:t>
      </w:r>
    </w:p>
    <w:p>
      <w:pPr>
        <w:pStyle w:val="normal1"/>
        <w:keepNext w:val="true"/>
        <w:keepLines w:val="false"/>
        <w:pageBreakBefore w:val="false"/>
        <w:widowControl/>
        <w:shd w:val="clear" w:fill="auto"/>
        <w:spacing w:lineRule="auto" w:line="240" w:before="0" w:after="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5579745" cy="1687195"/>
            <wp:effectExtent l="0" t="0" r="0" b="0"/>
            <wp:docPr id="4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1687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60" w:after="24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Heading2"/>
        <w:rPr/>
      </w:pPr>
      <w:r>
        <w:rPr/>
        <w:t>2.2 Análise de correlação</w:t>
      </w:r>
    </w:p>
    <w:p>
      <w:pPr>
        <w:pStyle w:val="normal1"/>
        <w:keepNext w:val="true"/>
        <w:keepLines/>
        <w:pageBreakBefore w:val="false"/>
        <w:widowControl/>
        <w:shd w:val="clear" w:fill="auto"/>
        <w:spacing w:lineRule="auto" w:line="240" w:before="240" w:after="12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Figura 5 – Matriz de correlação entre as dez características mais correlacionadas com o diagnóstico (maligno = 1).</w:t>
      </w:r>
    </w:p>
    <w:p>
      <w:pPr>
        <w:pStyle w:val="normal1"/>
        <w:keepNext w:val="true"/>
        <w:keepLines w:val="false"/>
        <w:pageBreakBefore w:val="false"/>
        <w:widowControl/>
        <w:shd w:val="clear" w:fill="auto"/>
        <w:spacing w:lineRule="auto" w:line="240" w:before="0" w:after="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4319905" cy="3411220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05" cy="3411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60" w:after="24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rPr/>
      </w:pPr>
      <w:r>
        <w:rPr/>
        <w:t>A matriz de correlação evidencia dois padrões relevantes. O primeiro é a forte correlação entre variáveis geometricamente relacionadas, como radius, perimeter e area (por exemplo, perimeter_worst e radius_worst, com correlação de 0,99): há 21 pares de variáveis com correlação superior a 0,90, uma multicolinearidade esperada. O segundo é a forte associação entre as medidas de tamanho e concavidade e o diagnóstico. As maiores correlações com a classe maligna são concave points_worst (0,79), perimeter_worst (0,78), concave points_mean (0,78) e radius_worst (0,78), indicando que tumores maiores e com contornos mais irregulares tendem a ser malignos, o que é consistente com o conhecimento médico sobre a morfologia tumoral. Essas relações são exploratórias: correlação não implica causalidade e uma característica isolada não determina o diagnóstico.</w:t>
      </w:r>
    </w:p>
    <w:p>
      <w:pPr>
        <w:pStyle w:val="Heading1"/>
        <w:rPr/>
      </w:pPr>
      <w:r>
        <w:rPr/>
        <w:t>3 ESTRATÉGIAS DE PRÉ-PROCESSAMENTO</w:t>
      </w:r>
    </w:p>
    <w:p>
      <w:pPr>
        <w:pStyle w:val="Heading2"/>
        <w:rPr/>
      </w:pPr>
      <w:r>
        <w:rPr/>
        <w:t>3.1 Limpeza e valores ausentes</w:t>
      </w:r>
    </w:p>
    <w:p>
      <w:pPr>
        <w:pStyle w:val="normal1"/>
        <w:rPr/>
      </w:pPr>
      <w:r>
        <w:rPr/>
        <w:t>Foram removidas a coluna id, por ser apenas um identificador, e a coluna Unnamed: 32, totalmente vazia. Não foram encontrados valores nulos nem registros duplicados, portanto não foi necessário imputar nem excluir registros. Os valores extremos (outliers) foram preservados, pelos motivos discutidos na Seção 2.1.</w:t>
      </w:r>
    </w:p>
    <w:p>
      <w:pPr>
        <w:pStyle w:val="Heading2"/>
        <w:rPr/>
      </w:pPr>
      <w:r>
        <w:rPr/>
        <w:t>3.2 Codificação da variável alvo</w:t>
      </w:r>
    </w:p>
    <w:p>
      <w:pPr>
        <w:pStyle w:val="normal1"/>
        <w:rPr/>
      </w:pPr>
      <w:r>
        <w:rPr/>
        <w:t>A variável alvo diagnosis, originalmente categórica (B/M), foi codificada com LabelEncoder: benigno (B) = 0 e maligno (M) = 1. Como as 30 variáveis preditoras já são numéricas, não houve necessidade de OneHotEncoder ou de outras codificações categóricas.</w:t>
      </w:r>
    </w:p>
    <w:p>
      <w:pPr>
        <w:pStyle w:val="Heading2"/>
        <w:rPr/>
      </w:pPr>
      <w:r>
        <w:rPr/>
        <w:t>3.3 Separação treino / validação / teste</w:t>
      </w:r>
    </w:p>
    <w:p>
      <w:pPr>
        <w:pStyle w:val="normal1"/>
        <w:rPr/>
      </w:pPr>
      <w:r>
        <w:rPr/>
        <w:t xml:space="preserve">Os dados foram divididos em três conjuntos com </w:t>
      </w:r>
      <w:r>
        <w:rPr>
          <w:b/>
          <w:bCs/>
        </w:rPr>
        <w:t>estratificação pela variável alvo (stratify=y)</w:t>
      </w:r>
      <w:r>
        <w:rPr/>
        <w:t xml:space="preserve"> e semente fixa (random_state=42), para preservar aproximadamente a proporção original de casos malignos e benignos em cada partição, cuidado importante em problemas médicos nos quais o desbalanceamento pode distorcer a avaliação. Primeiro foram separados 20% para teste; o restante foi dividido em 75% treino e 25% validação, resultando em 60%/20%/20% do total.</w:t>
      </w:r>
    </w:p>
    <w:p>
      <w:pPr>
        <w:pStyle w:val="normal1"/>
        <w:keepNext w:val="true"/>
        <w:keepLines/>
        <w:pageBreakBefore w:val="false"/>
        <w:widowControl/>
        <w:shd w:val="clear" w:fill="auto"/>
        <w:spacing w:lineRule="auto" w:line="240" w:before="240" w:after="12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Tabela 1 – Divisão dos dados em conjuntos de treino, validação e teste</w:t>
      </w:r>
    </w:p>
    <w:tbl>
      <w:tblPr>
        <w:tblStyle w:val="Table2"/>
        <w:tblW w:w="907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354"/>
        <w:gridCol w:w="2238"/>
        <w:gridCol w:w="2005"/>
        <w:gridCol w:w="2474"/>
      </w:tblGrid>
      <w:tr>
        <w:trPr>
          <w:tblHeader w:val="true"/>
          <w:cantSplit/>
        </w:trPr>
        <w:tc>
          <w:tcPr>
            <w:tcW w:w="2354" w:type="dxa"/>
            <w:tcBorders>
              <w:top w:val="single" w:sz="8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tru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Conjunto</w:t>
            </w:r>
          </w:p>
        </w:tc>
        <w:tc>
          <w:tcPr>
            <w:tcW w:w="2238" w:type="dxa"/>
            <w:tcBorders>
              <w:top w:val="single" w:sz="8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tru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Nº de amostras</w:t>
            </w:r>
          </w:p>
        </w:tc>
        <w:tc>
          <w:tcPr>
            <w:tcW w:w="2005" w:type="dxa"/>
            <w:tcBorders>
              <w:top w:val="single" w:sz="8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tru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% do total</w:t>
            </w:r>
          </w:p>
        </w:tc>
        <w:tc>
          <w:tcPr>
            <w:tcW w:w="2474" w:type="dxa"/>
            <w:tcBorders>
              <w:top w:val="single" w:sz="8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tru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% classe maligna</w:t>
            </w:r>
          </w:p>
        </w:tc>
      </w:tr>
      <w:tr>
        <w:trPr>
          <w:cantSplit/>
        </w:trPr>
        <w:tc>
          <w:tcPr>
            <w:tcW w:w="2354" w:type="dxa"/>
            <w:tcBorders/>
            <w:vAlign w:val="center"/>
          </w:tcPr>
          <w:p>
            <w:pPr>
              <w:pStyle w:val="normal1"/>
              <w:keepNext w:val="tru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Treino</w:t>
            </w:r>
          </w:p>
        </w:tc>
        <w:tc>
          <w:tcPr>
            <w:tcW w:w="2238" w:type="dxa"/>
            <w:tcBorders/>
            <w:vAlign w:val="center"/>
          </w:tcPr>
          <w:p>
            <w:pPr>
              <w:pStyle w:val="normal1"/>
              <w:keepNext w:val="tru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341</w:t>
            </w:r>
          </w:p>
        </w:tc>
        <w:tc>
          <w:tcPr>
            <w:tcW w:w="2005" w:type="dxa"/>
            <w:tcBorders/>
            <w:vAlign w:val="center"/>
          </w:tcPr>
          <w:p>
            <w:pPr>
              <w:pStyle w:val="normal1"/>
              <w:keepNext w:val="tru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60%</w:t>
            </w:r>
          </w:p>
        </w:tc>
        <w:tc>
          <w:tcPr>
            <w:tcW w:w="2474" w:type="dxa"/>
            <w:tcBorders/>
            <w:vAlign w:val="center"/>
          </w:tcPr>
          <w:p>
            <w:pPr>
              <w:pStyle w:val="normal1"/>
              <w:keepNext w:val="tru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37,2%</w:t>
            </w:r>
          </w:p>
        </w:tc>
      </w:tr>
      <w:tr>
        <w:trPr>
          <w:cantSplit/>
        </w:trPr>
        <w:tc>
          <w:tcPr>
            <w:tcW w:w="2354" w:type="dxa"/>
            <w:tcBorders/>
            <w:vAlign w:val="center"/>
          </w:tcPr>
          <w:p>
            <w:pPr>
              <w:pStyle w:val="normal1"/>
              <w:keepNext w:val="tru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Validação</w:t>
            </w:r>
          </w:p>
        </w:tc>
        <w:tc>
          <w:tcPr>
            <w:tcW w:w="2238" w:type="dxa"/>
            <w:tcBorders/>
            <w:vAlign w:val="center"/>
          </w:tcPr>
          <w:p>
            <w:pPr>
              <w:pStyle w:val="normal1"/>
              <w:keepNext w:val="tru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114</w:t>
            </w:r>
          </w:p>
        </w:tc>
        <w:tc>
          <w:tcPr>
            <w:tcW w:w="2005" w:type="dxa"/>
            <w:tcBorders/>
            <w:vAlign w:val="center"/>
          </w:tcPr>
          <w:p>
            <w:pPr>
              <w:pStyle w:val="normal1"/>
              <w:keepNext w:val="tru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20%</w:t>
            </w:r>
          </w:p>
        </w:tc>
        <w:tc>
          <w:tcPr>
            <w:tcW w:w="2474" w:type="dxa"/>
            <w:tcBorders/>
            <w:vAlign w:val="center"/>
          </w:tcPr>
          <w:p>
            <w:pPr>
              <w:pStyle w:val="normal1"/>
              <w:keepNext w:val="tru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37,7%</w:t>
            </w:r>
          </w:p>
        </w:tc>
      </w:tr>
      <w:tr>
        <w:trPr>
          <w:trHeight w:val="282" w:hRule="atLeast"/>
          <w:cantSplit/>
        </w:trPr>
        <w:tc>
          <w:tcPr>
            <w:tcW w:w="2354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Teste</w:t>
            </w:r>
          </w:p>
        </w:tc>
        <w:tc>
          <w:tcPr>
            <w:tcW w:w="2238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114</w:t>
            </w:r>
          </w:p>
        </w:tc>
        <w:tc>
          <w:tcPr>
            <w:tcW w:w="2005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20%</w:t>
            </w:r>
          </w:p>
        </w:tc>
        <w:tc>
          <w:tcPr>
            <w:tcW w:w="2474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36,8%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60" w:after="24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 proporção de classes se manteve próxima da original (37,3% de malignos) nos três conjuntos (Tabela 1). Como cada registro do conjunto de teste ou de validação equivale a cerca de 0,88 ponto percentual, não é possível igualar as proporções de forma exata. No notebook, a estratificação também foi comparada a uma divisão sem estratificação em uma etapa exploratória: a diferença entre as proporções de benignos em treino e teste caiu de 0,58 para 0,52 ponto percentual. A melhora foi pequena porque o sorteio sem estratificação já havia produzido proporções próximas, mas a estratificação garante esse resultado independentemente da semente.</w:t>
      </w:r>
    </w:p>
    <w:p>
      <w:pPr>
        <w:pStyle w:val="Heading2"/>
        <w:rPr/>
      </w:pPr>
      <w:r>
        <w:rPr/>
        <w:t>3.4 Pipeline de transformação</w:t>
      </w:r>
    </w:p>
    <w:p>
      <w:pPr>
        <w:pStyle w:val="normal1"/>
        <w:rPr/>
      </w:pPr>
      <w:r>
        <w:rPr/>
        <w:t xml:space="preserve">Foi construído um </w:t>
      </w:r>
      <w:r>
        <w:rPr>
          <w:b/>
          <w:bCs/>
        </w:rPr>
        <w:t>Pipeline</w:t>
      </w:r>
      <w:r>
        <w:rPr/>
        <w:t xml:space="preserve"> do scikit-learn combinando o </w:t>
      </w:r>
      <w:r>
        <w:rPr>
          <w:b/>
          <w:bCs/>
        </w:rPr>
        <w:t>StandardScaler</w:t>
      </w:r>
      <w:r>
        <w:rPr/>
        <w:t xml:space="preserve"> (padronização: média 0 e desvio padrão 1) ao modelo de classificação. O ajuste (fit) é realizado exclusivamente sobre o conjunto de treino, e os mesmos parâmetros são aplicados (transform) à validação e ao teste, evitando vazamento de dados (data leakage). O escalonamento é particularmente importante porque a regressão logística é sensível à escala das variáveis (com impacto na regularização e na convergência) e o KNN se baseia em distância euclidiana, sendo diretamente afetado pela diferença de escala entre variáveis como area_mean (na casa das centenas/milhares) e smoothness_mean (na casa dos centésimos).</w:t>
      </w:r>
    </w:p>
    <w:p>
      <w:pPr>
        <w:pStyle w:val="normal1"/>
        <w:rPr/>
      </w:pPr>
      <w:r>
        <w:rPr/>
        <w:t>Como o dataset atual não tem valores ausentes nem variáveis categóricas, o pipeline não inclui imputação nem codificação; ele pode ser estendido com um SimpleImputer e um ColumnTransformer caso dados reais do hospital (potencialmente incompletos ou com variáveis categóricas, como dados de prontuário) venham a substituir esta base.</w:t>
      </w:r>
    </w:p>
    <w:p>
      <w:pPr>
        <w:pStyle w:val="Heading1"/>
        <w:rPr/>
      </w:pPr>
      <w:r>
        <w:rPr/>
        <w:t>4 MODELOS UTILIZADOS E JUSTIFICATIVA</w:t>
      </w:r>
    </w:p>
    <w:p>
      <w:pPr>
        <w:pStyle w:val="Heading2"/>
        <w:rPr/>
      </w:pPr>
      <w:r>
        <w:rPr/>
        <w:t>4.1 Regressão Logística (modelo principal)</w:t>
      </w:r>
    </w:p>
    <w:p>
      <w:pPr>
        <w:pStyle w:val="normal1"/>
        <w:rPr/>
      </w:pPr>
      <w:r>
        <w:rPr/>
        <w:t>Modelo linear probabilístico, amplamente utilizado em aplicações clínicas por dois motivos principais: (i) fornece uma probabilidade de pertencimento à classe, útil para priorização de casos; e (ii) é altamente interpretável, pois os coeficientes indicam a direção e a magnitude da contribuição de cada variável, o que facilita a auditoria pela equipe médica. Foi treinada em um pipeline com StandardScaler (max_iter=1000, random_state=42). No notebook, foram comparadas duas versões: uma com as 30 características e outra com apenas as 10 características mais correlacionadas com o diagnóstico, selecionadas somente com base no conjunto de treino, para evitar vazamento. As dez selecionadas foram: concave points_worst, perimeter_worst, concave points_mean, radius_worst, perimeter_mean, radius_mean, area_worst, area_mean, concavity_mean, concavity_worst.</w:t>
      </w:r>
    </w:p>
    <w:p>
      <w:pPr>
        <w:pStyle w:val="Heading2"/>
        <w:rPr/>
      </w:pPr>
      <w:r>
        <w:rPr/>
        <w:t>4.2 K-Nearest Neighbors (KNN)</w:t>
      </w:r>
    </w:p>
    <w:p>
      <w:pPr>
        <w:pStyle w:val="normal1"/>
        <w:rPr/>
      </w:pPr>
      <w:r>
        <w:rPr/>
        <w:t>Algoritmo baseado em distância, simples e não paramétrico, usado como modelo de comparação (baseline) por sua simplicidade conceitual e por demonstrar o impacto do escalonamento. O modelo final utiliza as 30 características padronizadas e k = 5 vizinhos. O valor de K foi comparado na validação (K = 3, 5, 7, 9 e 11): K = 5, 7, 9 e 11 empataram, com acurácia de 97,37%, recall de 93,02% e F1-score de 96,39%, e superaram K = 3 (acurácia de 96,49% e F1-score de 95,24%, com o mesmo recall). Por isso, o modelo final permaneceu com K = 5.</w:t>
      </w:r>
    </w:p>
    <w:p>
      <w:pPr>
        <w:pStyle w:val="normal1"/>
        <w:rPr/>
      </w:pPr>
      <w:r>
        <w:rPr/>
        <w:t>Os modelos foram treinados exclusivamente com o conjunto de treino (341 registros), com a mesma divisão e a mesma semente.</w:t>
      </w:r>
    </w:p>
    <w:p>
      <w:pPr>
        <w:pStyle w:val="Heading1"/>
        <w:rPr/>
      </w:pPr>
      <w:r>
        <w:rPr/>
        <w:t>5 TREINAMENTO, AVALIAÇÃO E INTERPRETAÇÃO DOS RESULTADOS</w:t>
      </w:r>
    </w:p>
    <w:p>
      <w:pPr>
        <w:pStyle w:val="Heading2"/>
        <w:rPr/>
      </w:pPr>
      <w:r>
        <w:rPr/>
        <w:t>5.1 Escolha da métrica</w:t>
      </w:r>
    </w:p>
    <w:p>
      <w:pPr>
        <w:pStyle w:val="normal1"/>
        <w:rPr/>
      </w:pPr>
      <w:r>
        <w:rPr/>
        <w:t xml:space="preserve">Embora a acurácia seja intuitiva, ela pode mascarar diferenças entre os tipos de erro em dados desbalanceados: modelos com a mesma acurácia podem errar de formas distintas. Em diagnóstico médico, o custo de um </w:t>
      </w:r>
      <w:r>
        <w:rPr>
          <w:b/>
          <w:bCs/>
        </w:rPr>
        <w:t>falso negativo</w:t>
      </w:r>
      <w:r>
        <w:rPr/>
        <w:t xml:space="preserve"> (classificar um tumor maligno como benigno) é muito maior do que o de um falso positivo (encaminhar uma paciente com tumor benigno para investigação adicional). Por isso, o </w:t>
      </w:r>
      <w:r>
        <w:rPr>
          <w:b/>
          <w:bCs/>
        </w:rPr>
        <w:t>recall da classe maligna</w:t>
      </w:r>
      <w:r>
        <w:rPr/>
        <w:t xml:space="preserve"> foi tratado como a métrica mais crítica, complementado por acurácia, precisão e F1-score para uma visão equilibrada. A classe positiva é a maligna.</w:t>
      </w:r>
    </w:p>
    <w:p>
      <w:pPr>
        <w:pStyle w:val="Heading2"/>
        <w:rPr/>
      </w:pPr>
      <w:r>
        <w:rPr/>
        <w:t>5.2 Resultados no conjunto de validação</w:t>
      </w:r>
    </w:p>
    <w:p>
      <w:pPr>
        <w:pStyle w:val="normal1"/>
        <w:keepNext w:val="true"/>
        <w:keepLines/>
        <w:pageBreakBefore w:val="false"/>
        <w:widowControl/>
        <w:shd w:val="clear" w:fill="auto"/>
        <w:spacing w:lineRule="auto" w:line="240" w:before="240" w:after="12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Tabela 2 – Desempenho dos modelos no conjunto de validação</w:t>
      </w:r>
    </w:p>
    <w:tbl>
      <w:tblPr>
        <w:tblStyle w:val="Table3"/>
        <w:tblW w:w="907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639"/>
        <w:gridCol w:w="1265"/>
        <w:gridCol w:w="1493"/>
        <w:gridCol w:w="1378"/>
        <w:gridCol w:w="1204"/>
        <w:gridCol w:w="1092"/>
      </w:tblGrid>
      <w:tr>
        <w:trPr>
          <w:tblHeader w:val="true"/>
          <w:cantSplit/>
        </w:trPr>
        <w:tc>
          <w:tcPr>
            <w:tcW w:w="2639" w:type="dxa"/>
            <w:tcBorders>
              <w:top w:val="single" w:sz="8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tru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Modelo</w:t>
            </w:r>
          </w:p>
        </w:tc>
        <w:tc>
          <w:tcPr>
            <w:tcW w:w="1265" w:type="dxa"/>
            <w:tcBorders>
              <w:top w:val="single" w:sz="8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tru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Acurácia</w:t>
            </w:r>
          </w:p>
        </w:tc>
        <w:tc>
          <w:tcPr>
            <w:tcW w:w="1493" w:type="dxa"/>
            <w:tcBorders>
              <w:top w:val="single" w:sz="8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tru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Precisão (maligno)</w:t>
            </w:r>
          </w:p>
        </w:tc>
        <w:tc>
          <w:tcPr>
            <w:tcW w:w="1378" w:type="dxa"/>
            <w:tcBorders>
              <w:top w:val="single" w:sz="8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tru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Recall (maligno)</w:t>
            </w:r>
          </w:p>
        </w:tc>
        <w:tc>
          <w:tcPr>
            <w:tcW w:w="1204" w:type="dxa"/>
            <w:tcBorders>
              <w:top w:val="single" w:sz="8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tru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F1 (maligno)</w:t>
            </w:r>
          </w:p>
        </w:tc>
        <w:tc>
          <w:tcPr>
            <w:tcW w:w="1092" w:type="dxa"/>
            <w:tcBorders>
              <w:top w:val="single" w:sz="8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tru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FP / FN</w:t>
            </w:r>
          </w:p>
        </w:tc>
      </w:tr>
      <w:tr>
        <w:trPr>
          <w:cantSplit/>
        </w:trPr>
        <w:tc>
          <w:tcPr>
            <w:tcW w:w="2639" w:type="dxa"/>
            <w:tcBorders/>
            <w:vAlign w:val="center"/>
          </w:tcPr>
          <w:p>
            <w:pPr>
              <w:pStyle w:val="normal1"/>
              <w:keepNext w:val="tru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Regressão Logística (30 var.)</w:t>
            </w:r>
          </w:p>
        </w:tc>
        <w:tc>
          <w:tcPr>
            <w:tcW w:w="1265" w:type="dxa"/>
            <w:tcBorders/>
            <w:vAlign w:val="center"/>
          </w:tcPr>
          <w:p>
            <w:pPr>
              <w:pStyle w:val="normal1"/>
              <w:keepNext w:val="tru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97,37%</w:t>
            </w:r>
          </w:p>
        </w:tc>
        <w:tc>
          <w:tcPr>
            <w:tcW w:w="1493" w:type="dxa"/>
            <w:tcBorders/>
            <w:vAlign w:val="center"/>
          </w:tcPr>
          <w:p>
            <w:pPr>
              <w:pStyle w:val="normal1"/>
              <w:keepNext w:val="tru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0,95</w:t>
            </w:r>
          </w:p>
        </w:tc>
        <w:tc>
          <w:tcPr>
            <w:tcW w:w="1378" w:type="dxa"/>
            <w:tcBorders/>
            <w:vAlign w:val="center"/>
          </w:tcPr>
          <w:p>
            <w:pPr>
              <w:pStyle w:val="normal1"/>
              <w:keepNext w:val="tru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0,98</w:t>
            </w:r>
          </w:p>
        </w:tc>
        <w:tc>
          <w:tcPr>
            <w:tcW w:w="1204" w:type="dxa"/>
            <w:tcBorders/>
            <w:vAlign w:val="center"/>
          </w:tcPr>
          <w:p>
            <w:pPr>
              <w:pStyle w:val="normal1"/>
              <w:keepNext w:val="tru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0,97</w:t>
            </w:r>
          </w:p>
        </w:tc>
        <w:tc>
          <w:tcPr>
            <w:tcW w:w="1092" w:type="dxa"/>
            <w:tcBorders/>
            <w:vAlign w:val="center"/>
          </w:tcPr>
          <w:p>
            <w:pPr>
              <w:pStyle w:val="normal1"/>
              <w:keepNext w:val="tru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2 / 1</w:t>
            </w:r>
          </w:p>
        </w:tc>
      </w:tr>
      <w:tr>
        <w:trPr>
          <w:cantSplit/>
        </w:trPr>
        <w:tc>
          <w:tcPr>
            <w:tcW w:w="2639" w:type="dxa"/>
            <w:tcBorders/>
            <w:vAlign w:val="center"/>
          </w:tcPr>
          <w:p>
            <w:pPr>
              <w:pStyle w:val="normal1"/>
              <w:keepNext w:val="tru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Regressão Logística (10 var.)</w:t>
            </w:r>
          </w:p>
        </w:tc>
        <w:tc>
          <w:tcPr>
            <w:tcW w:w="1265" w:type="dxa"/>
            <w:tcBorders/>
            <w:vAlign w:val="center"/>
          </w:tcPr>
          <w:p>
            <w:pPr>
              <w:pStyle w:val="normal1"/>
              <w:keepNext w:val="tru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97,37%</w:t>
            </w:r>
          </w:p>
        </w:tc>
        <w:tc>
          <w:tcPr>
            <w:tcW w:w="1493" w:type="dxa"/>
            <w:tcBorders/>
            <w:vAlign w:val="center"/>
          </w:tcPr>
          <w:p>
            <w:pPr>
              <w:pStyle w:val="normal1"/>
              <w:keepNext w:val="tru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0,98</w:t>
            </w:r>
          </w:p>
        </w:tc>
        <w:tc>
          <w:tcPr>
            <w:tcW w:w="1378" w:type="dxa"/>
            <w:tcBorders/>
            <w:vAlign w:val="center"/>
          </w:tcPr>
          <w:p>
            <w:pPr>
              <w:pStyle w:val="normal1"/>
              <w:keepNext w:val="tru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0,95</w:t>
            </w:r>
          </w:p>
        </w:tc>
        <w:tc>
          <w:tcPr>
            <w:tcW w:w="1204" w:type="dxa"/>
            <w:tcBorders/>
            <w:vAlign w:val="center"/>
          </w:tcPr>
          <w:p>
            <w:pPr>
              <w:pStyle w:val="normal1"/>
              <w:keepNext w:val="tru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0,96</w:t>
            </w:r>
          </w:p>
        </w:tc>
        <w:tc>
          <w:tcPr>
            <w:tcW w:w="1092" w:type="dxa"/>
            <w:tcBorders/>
            <w:vAlign w:val="center"/>
          </w:tcPr>
          <w:p>
            <w:pPr>
              <w:pStyle w:val="normal1"/>
              <w:keepNext w:val="tru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 / 2</w:t>
            </w:r>
          </w:p>
        </w:tc>
      </w:tr>
      <w:tr>
        <w:trPr>
          <w:cantSplit/>
        </w:trPr>
        <w:tc>
          <w:tcPr>
            <w:tcW w:w="263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KNN (k=5, 30 var.)</w:t>
            </w:r>
          </w:p>
        </w:tc>
        <w:tc>
          <w:tcPr>
            <w:tcW w:w="1265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97,37%</w:t>
            </w:r>
          </w:p>
        </w:tc>
        <w:tc>
          <w:tcPr>
            <w:tcW w:w="1493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1,00</w:t>
            </w:r>
          </w:p>
        </w:tc>
        <w:tc>
          <w:tcPr>
            <w:tcW w:w="1378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0,93</w:t>
            </w:r>
          </w:p>
        </w:tc>
        <w:tc>
          <w:tcPr>
            <w:tcW w:w="1204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0,96</w:t>
            </w:r>
          </w:p>
        </w:tc>
        <w:tc>
          <w:tcPr>
            <w:tcW w:w="1092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0 / 3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60" w:after="24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rPr/>
      </w:pPr>
      <w:r>
        <w:rPr/>
        <w:t>Os três modelos atingiram a mesma acurácia na validação (97,37%, 111 acertos em 114), mas com perfis de erro diferentes. A Regressão Logística com 30 características teve o maior recall para a classe maligna (97,67%: apenas 1 caso maligno não identificado), à custa de 2 falsos positivos. A versão com 10 características teve 2 falsos negativos (recall de 95,35%), e o KNN teve precisão perfeita (nenhum falso positivo), mas deixou passar 3 casos malignos (recall de 93,02%). Como o objetivo é minimizar falsos negativos, a Regressão Logística com 30 características foi selecionada como modelo final. Como a seleção foi feita apenas na validação, o conjunto de teste permaneceu reservado para a avaliação final.</w:t>
      </w:r>
    </w:p>
    <w:p>
      <w:pPr>
        <w:pStyle w:val="Heading2"/>
        <w:rPr/>
      </w:pPr>
      <w:r>
        <w:rPr/>
        <w:t>5.3 Avaliação final no conjunto de teste</w:t>
      </w:r>
    </w:p>
    <w:p>
      <w:pPr>
        <w:pStyle w:val="normal1"/>
        <w:keepNext w:val="true"/>
        <w:keepLines/>
        <w:pageBreakBefore w:val="false"/>
        <w:widowControl/>
        <w:shd w:val="clear" w:fill="auto"/>
        <w:spacing w:lineRule="auto" w:line="240" w:before="240" w:after="12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Tabela 3 – Desempenho dos modelos no conjunto de teste</w:t>
      </w:r>
    </w:p>
    <w:tbl>
      <w:tblPr>
        <w:tblStyle w:val="Table4"/>
        <w:tblW w:w="907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639"/>
        <w:gridCol w:w="1265"/>
        <w:gridCol w:w="1493"/>
        <w:gridCol w:w="1378"/>
        <w:gridCol w:w="1204"/>
        <w:gridCol w:w="1092"/>
      </w:tblGrid>
      <w:tr>
        <w:trPr>
          <w:tblHeader w:val="true"/>
          <w:cantSplit/>
        </w:trPr>
        <w:tc>
          <w:tcPr>
            <w:tcW w:w="2639" w:type="dxa"/>
            <w:tcBorders>
              <w:top w:val="single" w:sz="8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tru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Modelo</w:t>
            </w:r>
          </w:p>
        </w:tc>
        <w:tc>
          <w:tcPr>
            <w:tcW w:w="1265" w:type="dxa"/>
            <w:tcBorders>
              <w:top w:val="single" w:sz="8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tru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Acurácia</w:t>
            </w:r>
          </w:p>
        </w:tc>
        <w:tc>
          <w:tcPr>
            <w:tcW w:w="1493" w:type="dxa"/>
            <w:tcBorders>
              <w:top w:val="single" w:sz="8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tru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Precisão (maligno)</w:t>
            </w:r>
          </w:p>
        </w:tc>
        <w:tc>
          <w:tcPr>
            <w:tcW w:w="1378" w:type="dxa"/>
            <w:tcBorders>
              <w:top w:val="single" w:sz="8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tru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Recall (maligno)</w:t>
            </w:r>
          </w:p>
        </w:tc>
        <w:tc>
          <w:tcPr>
            <w:tcW w:w="1204" w:type="dxa"/>
            <w:tcBorders>
              <w:top w:val="single" w:sz="8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tru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F1 (maligno)</w:t>
            </w:r>
          </w:p>
        </w:tc>
        <w:tc>
          <w:tcPr>
            <w:tcW w:w="1092" w:type="dxa"/>
            <w:tcBorders>
              <w:top w:val="single" w:sz="8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tru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FP / FN</w:t>
            </w:r>
          </w:p>
        </w:tc>
      </w:tr>
      <w:tr>
        <w:trPr>
          <w:cantSplit/>
        </w:trPr>
        <w:tc>
          <w:tcPr>
            <w:tcW w:w="2639" w:type="dxa"/>
            <w:tcBorders/>
            <w:vAlign w:val="center"/>
          </w:tcPr>
          <w:p>
            <w:pPr>
              <w:pStyle w:val="normal1"/>
              <w:keepNext w:val="tru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Regressão Logística (30 var.)</w:t>
            </w:r>
          </w:p>
        </w:tc>
        <w:tc>
          <w:tcPr>
            <w:tcW w:w="1265" w:type="dxa"/>
            <w:tcBorders/>
            <w:vAlign w:val="center"/>
          </w:tcPr>
          <w:p>
            <w:pPr>
              <w:pStyle w:val="normal1"/>
              <w:keepNext w:val="tru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97,37%</w:t>
            </w:r>
          </w:p>
        </w:tc>
        <w:tc>
          <w:tcPr>
            <w:tcW w:w="1493" w:type="dxa"/>
            <w:tcBorders/>
            <w:vAlign w:val="center"/>
          </w:tcPr>
          <w:p>
            <w:pPr>
              <w:pStyle w:val="normal1"/>
              <w:keepNext w:val="tru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0,98</w:t>
            </w:r>
          </w:p>
        </w:tc>
        <w:tc>
          <w:tcPr>
            <w:tcW w:w="1378" w:type="dxa"/>
            <w:tcBorders/>
            <w:vAlign w:val="center"/>
          </w:tcPr>
          <w:p>
            <w:pPr>
              <w:pStyle w:val="normal1"/>
              <w:keepNext w:val="tru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0,95</w:t>
            </w:r>
          </w:p>
        </w:tc>
        <w:tc>
          <w:tcPr>
            <w:tcW w:w="1204" w:type="dxa"/>
            <w:tcBorders/>
            <w:vAlign w:val="center"/>
          </w:tcPr>
          <w:p>
            <w:pPr>
              <w:pStyle w:val="normal1"/>
              <w:keepNext w:val="tru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0,96</w:t>
            </w:r>
          </w:p>
        </w:tc>
        <w:tc>
          <w:tcPr>
            <w:tcW w:w="1092" w:type="dxa"/>
            <w:tcBorders/>
            <w:vAlign w:val="center"/>
          </w:tcPr>
          <w:p>
            <w:pPr>
              <w:pStyle w:val="normal1"/>
              <w:keepNext w:val="tru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 / 2</w:t>
            </w:r>
          </w:p>
        </w:tc>
      </w:tr>
      <w:tr>
        <w:trPr>
          <w:cantSplit/>
        </w:trPr>
        <w:tc>
          <w:tcPr>
            <w:tcW w:w="263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KNN (k=5, 30 var.)</w:t>
            </w:r>
          </w:p>
        </w:tc>
        <w:tc>
          <w:tcPr>
            <w:tcW w:w="1265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94,74%</w:t>
            </w:r>
          </w:p>
        </w:tc>
        <w:tc>
          <w:tcPr>
            <w:tcW w:w="1493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0,97</w:t>
            </w:r>
          </w:p>
        </w:tc>
        <w:tc>
          <w:tcPr>
            <w:tcW w:w="1378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0,88</w:t>
            </w:r>
          </w:p>
        </w:tc>
        <w:tc>
          <w:tcPr>
            <w:tcW w:w="1204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0,93</w:t>
            </w:r>
          </w:p>
        </w:tc>
        <w:tc>
          <w:tcPr>
            <w:tcW w:w="1092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40" w:after="4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 / 5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60" w:after="24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rPr/>
      </w:pPr>
      <w:r>
        <w:rPr/>
      </w:r>
    </w:p>
    <w:p>
      <w:pPr>
        <w:pStyle w:val="normal1"/>
        <w:keepNext w:val="true"/>
        <w:keepLines/>
        <w:pageBreakBefore w:val="false"/>
        <w:widowControl/>
        <w:shd w:val="clear" w:fill="auto"/>
        <w:spacing w:lineRule="auto" w:line="240" w:before="240" w:after="12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Figura 6 – Matriz de confusão da Regressão Logística (30 características) no conjunto de teste.</w:t>
      </w:r>
    </w:p>
    <w:p>
      <w:pPr>
        <w:pStyle w:val="normal1"/>
        <w:keepNext w:val="true"/>
        <w:keepLines w:val="false"/>
        <w:pageBreakBefore w:val="false"/>
        <w:widowControl/>
        <w:shd w:val="clear" w:fill="auto"/>
        <w:spacing w:lineRule="auto" w:line="240" w:before="0" w:after="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2879725" cy="2298065"/>
            <wp:effectExtent l="0" t="0" r="0" b="0"/>
            <wp:docPr id="6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2298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60" w:after="24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true"/>
        <w:keepLines/>
        <w:pageBreakBefore w:val="false"/>
        <w:widowControl/>
        <w:shd w:val="clear" w:fill="auto"/>
        <w:spacing w:lineRule="auto" w:line="240" w:before="240" w:after="12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Figura 7 – Matriz de confusão do KNN (K=5) no conjunto de teste.</w:t>
      </w:r>
    </w:p>
    <w:p>
      <w:pPr>
        <w:pStyle w:val="normal1"/>
        <w:keepNext w:val="true"/>
        <w:keepLines w:val="false"/>
        <w:pageBreakBefore w:val="false"/>
        <w:widowControl/>
        <w:shd w:val="clear" w:fill="auto"/>
        <w:spacing w:lineRule="auto" w:line="240" w:before="0" w:after="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2879725" cy="2298065"/>
            <wp:effectExtent l="0" t="0" r="0" b="0"/>
            <wp:docPr id="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2298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60" w:after="24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rPr/>
      </w:pPr>
      <w:r>
        <w:rPr/>
        <w:t>No conjunto de teste (114 registros), a Regressão Logística alcançou acurácia de 97,37%, precisão de 0,98, recall de 0,95 e F1-score de 0,96 para a classe maligna, com 3 erros: 1 falso positivo e 2 falsos negativos (dois casos malignos classificados como benignos). Foi também o modelo de melhor desempenho no teste nas três métricas, à frente do KNN (acurácia de 94,74%, recall de 0,88 e F1-score de 0,93), que apresentou 1 falso positivo e 5 falsos negativos (Figura 7). A diferença entre os modelos é de poucos registros em uma amostra pequena, portanto deve ser interpretada com cautela. A presença de falsos negativos reforça a necessidade de tratar o sistema como ferramenta de apoio, e não como decisão final automatizada.</w:t>
      </w:r>
    </w:p>
    <w:p>
      <w:pPr>
        <w:pStyle w:val="Heading2"/>
        <w:rPr/>
      </w:pPr>
      <w:r>
        <w:rPr/>
        <w:t>5.4 Interpretabilidade (coeficientes)</w:t>
      </w:r>
    </w:p>
    <w:p>
      <w:pPr>
        <w:pStyle w:val="normal1"/>
        <w:keepNext w:val="true"/>
        <w:keepLines/>
        <w:pageBreakBefore w:val="false"/>
        <w:widowControl/>
        <w:shd w:val="clear" w:fill="auto"/>
        <w:spacing w:lineRule="auto" w:line="240" w:before="240" w:after="12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Figura 8 – Dez maiores coeficientes da Regressão Logística (variáveis padronizadas).</w:t>
      </w:r>
    </w:p>
    <w:p>
      <w:pPr>
        <w:pStyle w:val="normal1"/>
        <w:keepNext w:val="true"/>
        <w:keepLines w:val="false"/>
        <w:pageBreakBefore w:val="false"/>
        <w:widowControl/>
        <w:shd w:val="clear" w:fill="auto"/>
        <w:spacing w:lineRule="auto" w:line="240" w:before="0" w:after="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4319905" cy="2667000"/>
            <wp:effectExtent l="0" t="0" r="0" b="0"/>
            <wp:docPr id="8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05" cy="266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60" w:after="24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rPr/>
      </w:pPr>
      <w:r>
        <w:rPr/>
        <w:t>A análise dos coeficientes (Figura 8) mostra quais características tiveram maior influência relativa nas decisões do modelo. As de maior coeficiente absoluto foram texture_worst (1,355), concave points_mean (1,104), radius_se (1,026), symmetry_worst (0,952) e radius_worst (0,813), além de area_worst, area_se, concavity_worst e concavity_mean. Coeficientes positivos indicam associação com o aumento da probabilidade estimada para a classe maligna, e coeficientes negativos, associação no sentido contrário, sempre dentro do modelo e considerando a codificação utilizada (maligno = 1). Esses valores não representam causalidade e não devem ser lidos como conclusão médica.</w:t>
      </w:r>
    </w:p>
    <w:p>
      <w:pPr>
        <w:pStyle w:val="normal1"/>
        <w:rPr/>
      </w:pPr>
      <w:r>
        <w:rPr>
          <w:rFonts w:eastAsia="Gungsuh" w:cs="Gungsuh" w:ascii="Gungsuh" w:hAnsi="Gungsuh"/>
        </w:rPr>
        <w:t>Há, porém, um ponto de atenção: compactness_se aparece com coeficiente negativo (−0,759), o que contraria a associação isolada dessa variável com a classe maligna. Isso é um efeito da forte multicolinearidade entre as variáveis (Seção 2.2): em um modelo linear, o coeficiente de cada variável é ajustado condicionalmente às demais, e pode mudar de sinal. Por isso, os coeficientes devem ser lidos como a contribuição de cada variável dentro do modelo, e não como seu efeito isolado sobre o diagnóstico. Também por isso o ranking dos coeficientes não coincide com o ranking de correlação com o alvo, no qual lideram concave points_worst e perimeter_worst.</w:t>
      </w:r>
    </w:p>
    <w:p>
      <w:pPr>
        <w:pStyle w:val="Heading1"/>
        <w:rPr/>
      </w:pPr>
      <w:r>
        <w:rPr/>
        <w:t>6 DISCUSSÃO CRÍTICA E APLICABILIDADE PRÁTICA</w:t>
      </w:r>
    </w:p>
    <w:p>
      <w:pPr>
        <w:pStyle w:val="normal1"/>
        <w:rPr/>
      </w:pPr>
      <w:r>
        <w:rPr/>
        <w:t>Os resultados obtidos (acurácia de 97,37% e recall de 95,2% para a classe maligna no teste) são expressivos, mas devem ser interpretados com cautela antes de qualquer aplicação real: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360" w:before="0" w:after="0"/>
        <w:ind w:hanging="567" w:start="1134" w:end="0"/>
        <w:jc w:val="both"/>
        <w:rPr/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tamanho e origem dos dados: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o dataset possui apenas 569 amostras e as variáveis já vêm derivadas de imagens processadas. No teste, cada erro equivale a cerca de 0,9 ponto percentual, e a diferença entre modelos é de poucos casos. Uma implantação real exigiria validação com base própria do hospital, potencialmente maior e com características extraídas de forma diferente;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360" w:before="0" w:after="0"/>
        <w:ind w:hanging="567" w:start="1134" w:end="0"/>
        <w:jc w:val="both"/>
        <w:rPr/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uso do conjunto de teste: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a escolha de K e a comparação entre 30 e 10 características foram feitas apenas na validação, e o teste permaneceu reservado para a avaliação final. Ainda assim, com apenas dois modelos comparados e sem ajuste sistemático de hiperparâmetros, recomenda-se, em uma etapa futura, validação cruzada estratificada e ajuste de hiperparâmetros com um conjunto de teste ainda não utilizado;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360" w:before="0" w:after="0"/>
        <w:ind w:hanging="567" w:start="1134" w:end="0"/>
        <w:jc w:val="both"/>
        <w:rPr/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desbalanceamento de classes: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embora moderado aqui, em uma base real e maior esse aspecto precisa ser reavaliado com técnicas específicas (ponderação de classes, validação cruzada estratificada, calibração de probabilidade e ajuste do limiar de decisão para priorizar o recall);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360" w:before="0" w:after="0"/>
        <w:ind w:hanging="567" w:start="1134" w:end="0"/>
        <w:jc w:val="both"/>
        <w:rPr/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risco de viés: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modelos de ML podem aprender vieses presentes nos dados de treino (equipamento utilizado, população estudada, protocolo de coleta), exigindo monitoramento contínuo e reavaliação periódica após a entrada em produção;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360" w:before="0" w:after="0"/>
        <w:ind w:hanging="567" w:start="1134" w:end="0"/>
        <w:jc w:val="both"/>
        <w:rPr/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interpretabilidade e multicolinearidade: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a correlação elevada entre variáveis de tamanho e entre variáveis de forma dificulta a leitura individual dos coeficientes (Seção 5.4); a explicação ao médico deve apontar o conjunto de características que sustentou a previsão, não uma variável isolada;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360" w:before="0" w:after="0"/>
        <w:ind w:hanging="567" w:start="1134" w:end="0"/>
        <w:jc w:val="both"/>
        <w:rPr/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generalização: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um bom desempenho em benchmark acadêmico não garante desempenho equivalente em ambiente hospitalar real, com maior variabilidade de pacientes e equipamentos.</w:t>
      </w:r>
    </w:p>
    <w:p>
      <w:pPr>
        <w:pStyle w:val="normal1"/>
        <w:rPr/>
      </w:pPr>
      <w:r>
        <w:rPr>
          <w:b/>
          <w:bCs/>
        </w:rPr>
        <w:t xml:space="preserve">Uso recomendado: </w:t>
      </w:r>
      <w:r>
        <w:rPr/>
        <w:t xml:space="preserve">este modelo deve atuar como ferramenta de </w:t>
      </w:r>
      <w:r>
        <w:rPr>
          <w:b/>
          <w:bCs/>
        </w:rPr>
        <w:t>apoio à triagem</w:t>
      </w:r>
      <w:r>
        <w:rPr/>
        <w:t xml:space="preserve">, priorizando exames suspeitos para revisão mais rápida por um especialista, funcionando como uma “segunda opinião” automatizada e um filtro de atenção, nunca como substituto do julgamento clínico. Conforme reforçado no enunciado do desafio, </w:t>
      </w:r>
      <w:r>
        <w:rPr>
          <w:b/>
          <w:bCs/>
        </w:rPr>
        <w:t>o médico deve sempre ter a palavra final no diagnóstico, principalmente pelos resultados apresentarem a pequena probabilidade de falso negativo.</w:t>
      </w:r>
      <w:r>
        <w:rPr/>
        <w:t>; o papel do sistema é acelerar a triagem e reduzir o tempo de resposta, sem retirar a responsabilidade clínica do profissional humano.</w:t>
      </w:r>
    </w:p>
    <w:p>
      <w:pPr>
        <w:pStyle w:val="Heading1"/>
        <w:rPr/>
      </w:pPr>
      <w:r>
        <w:rPr/>
        <w:t>7 CONCLUSÃO</w:t>
      </w:r>
    </w:p>
    <w:p>
      <w:pPr>
        <w:pStyle w:val="normal1"/>
        <w:rPr/>
      </w:pPr>
      <w:r>
        <w:rPr/>
        <w:t>A Fase 1 do Tech Challenge demonstrou, de ponta a ponta, a construção de um pipeline de Machine Learning para apoio ao diagnóstico médico: exploração de dados, limpeza, codificação e padronização das características, divisão estratificada em treino, validação e teste, treinamento e comparação de modelos de classificação, avaliação com métricas adequadas ao contexto clínico e interpretação dos resultados via coeficientes. A Regressão Logística com as 30 características foi o modelo selecionado, com recall de 97,7% na validação e acurácia de 97,4% no teste, além de ser o modelo mais interpretável entre os dois comparados. O código completo, o notebook executável e as instruções de execução estão disponíveis no repositório Git indicado no Quadro 1 deste relatório.</w:t>
      </w:r>
    </w:p>
    <w:sectPr>
      <w:headerReference w:type="even" r:id="rId10"/>
      <w:headerReference w:type="default" r:id="rId11"/>
      <w:headerReference w:type="first" r:id="rId12"/>
      <w:type w:val="nextPage"/>
      <w:pgSz w:w="11906" w:h="16838"/>
      <w:pgMar w:left="1701" w:right="1134" w:gutter="0" w:header="1134" w:top="1701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Gungsuh">
    <w:charset w:val="0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535" w:leader="none"/>
        <w:tab w:val="right" w:pos="9071" w:leader="none"/>
      </w:tabs>
      <w:spacing w:lineRule="auto" w:line="240" w:before="0" w:after="0"/>
      <w:ind w:hanging="0" w:start="0" w:end="0"/>
      <w:jc w:val="end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535" w:leader="none"/>
        <w:tab w:val="right" w:pos="9071" w:leader="none"/>
      </w:tabs>
      <w:spacing w:lineRule="auto" w:line="240" w:before="0" w:after="0"/>
      <w:ind w:hanging="0" w:start="0" w:end="0"/>
      <w:jc w:val="end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)"/>
      <w:lvlJc w:val="start"/>
      <w:pPr>
        <w:tabs>
          <w:tab w:val="num" w:pos="0"/>
        </w:tabs>
        <w:ind w:start="1134" w:hanging="567"/>
      </w:pPr>
      <w:rPr/>
    </w:lvl>
    <w:lvl w:ilvl="1">
      <w:start w:val="1"/>
      <w:numFmt w:val="bullet"/>
      <w:lvlText w:val=""/>
      <w:lvlJc w:val="start"/>
      <w:pPr>
        <w:tabs>
          <w:tab w:val="num" w:pos="0"/>
        </w:tabs>
        <w:ind w:start="1701" w:hanging="567"/>
      </w:pPr>
      <w:rPr>
        <w:rFonts w:ascii="Symbol" w:hAnsi="Symbol" w:cs="Symbol" w:hint="default"/>
      </w:rPr>
    </w:lvl>
    <w:lvl w:ilvl="2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lowerLetter"/>
      <w:lvlText w:val="%1)"/>
      <w:lvlJc w:val="start"/>
      <w:pPr>
        <w:tabs>
          <w:tab w:val="num" w:pos="0"/>
        </w:tabs>
        <w:ind w:start="1134" w:hanging="567"/>
      </w:pPr>
      <w:rPr/>
    </w:lvl>
    <w:lvl w:ilvl="1">
      <w:start w:val="1"/>
      <w:numFmt w:val="bullet"/>
      <w:lvlText w:val=""/>
      <w:lvlJc w:val="start"/>
      <w:pPr>
        <w:tabs>
          <w:tab w:val="num" w:pos="0"/>
        </w:tabs>
        <w:ind w:start="1701" w:hanging="567"/>
      </w:pPr>
      <w:rPr>
        <w:rFonts w:ascii="Symbol" w:hAnsi="Symbol" w:cs="Symbol" w:hint="default"/>
      </w:rPr>
    </w:lvl>
    <w:lvl w:ilvl="2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NSimSun" w:cs="Arial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spacing w:lineRule="auto" w:line="360" w:before="360" w:after="360"/>
      <w:ind w:hanging="0"/>
      <w:jc w:val="start"/>
    </w:pPr>
    <w:rPr>
      <w:b/>
      <w:bCs/>
    </w:rPr>
  </w:style>
  <w:style w:type="paragraph" w:styleId="Heading2">
    <w:name w:val="heading 2"/>
    <w:basedOn w:val="normal1"/>
    <w:next w:val="normal1"/>
    <w:pPr>
      <w:keepNext w:val="true"/>
      <w:keepLines/>
      <w:spacing w:lineRule="auto" w:line="360" w:before="360" w:after="360"/>
      <w:ind w:hanging="0"/>
      <w:jc w:val="start"/>
    </w:pPr>
    <w:rPr>
      <w:b/>
      <w:bCs/>
    </w:rPr>
  </w:style>
  <w:style w:type="paragraph" w:styleId="Heading3">
    <w:name w:val="heading 3"/>
    <w:basedOn w:val="normal1"/>
    <w:next w:val="normal1"/>
    <w:pPr>
      <w:keepNext w:val="true"/>
      <w:keepLines/>
      <w:spacing w:lineRule="auto" w:line="240" w:before="360" w:after="360"/>
      <w:ind w:hanging="0"/>
      <w:jc w:val="start"/>
    </w:pPr>
    <w:rPr>
      <w:b/>
      <w:bCs/>
      <w:i/>
      <w:iCs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pPr>
      <w:suppressLineNumbers/>
    </w:pPr>
    <w:rPr>
      <w:rFonts w:cs="Arial"/>
    </w:rPr>
  </w:style>
  <w:style w:type="paragraph" w:styleId="normal1" w:default="1">
    <w:name w:val="normal1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NSimSun" w:cs="Arial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abealhoerodapuser">
    <w:name w:val="Cabeçalho e rodapé (user)"/>
    <w:basedOn w:val="Normal"/>
    <w:pPr/>
    <w:rPr/>
  </w:style>
  <w:style w:type="paragraph" w:styleId="Cabealhoerodap">
    <w:name w:val="Cabeçalho e rodapé"/>
    <w:basedOn w:val="Normal"/>
    <w:pPr/>
    <w:rPr/>
  </w:style>
  <w:style w:type="paragraph" w:styleId="Header">
    <w:name w:val="header"/>
    <w:basedOn w:val="Cabealhoerodapus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1525</TotalTime>
  <Application>LibreOffice/26.8.1.1$Windows_X86_64 LibreOffice_project/bf6ef2662401c7d6dce671ab4deb26ee0af3a7c1</Application>
  <AppVersion>15.0000</AppVersion>
  <Pages>16</Pages>
  <Words>2857</Words>
  <Characters>16342</Characters>
  <CharactersWithSpaces>19040</CharactersWithSpaces>
  <Paragraphs>177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lastPrinted>2026-10-31T19:15:07Z</cp:lastPrinted>
  <dcterms:modified xsi:type="dcterms:W3CDTF">2026-11-01T20:39:47Z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