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3304"/>
      </w:tblGrid>
      <w:tr w:rsidR="00F0123C" w14:paraId="4032BD4F" w14:textId="77777777" w:rsidTr="00F0123C">
        <w:tc>
          <w:tcPr>
            <w:tcW w:w="6658" w:type="dxa"/>
          </w:tcPr>
          <w:p w14:paraId="1FA9BDBD" w14:textId="7B8EFA85" w:rsidR="00F0123C" w:rsidRDefault="00F0123C" w:rsidP="00F0123C">
            <w:r>
              <w:t>Universidad Mesoamericana</w:t>
              <w:br/>
              <w:t>Facultad de Ingeniería</w:t>
              <w:br/>
              <w:t>Ingeniería en Sistemas, Informática y Ciencias de la Computación</w:t>
              <w:br/>
              <w:t>Seminario de Estado Actual de la Tecnología</w:t>
              <w:br/>
              <w:t>Sección: 8D_S</w:t>
              <w:br/>
              <w:t>Fecha: 07/07/2026</w:t>
              <w:br/>
              <w:br/>
              <w:t>Alumno: Douglas Yasser Jacobo Jacobo</w:t>
            </w:r>
          </w:p>
        </w:tc>
        <w:tc>
          <w:tcPr>
            <w:tcW w:w="3304" w:type="dxa"/>
          </w:tcPr>
          <w:p w14:paraId="2DB1B3F1" w14:textId="14C85DC6" w:rsidR="00F0123C" w:rsidRDefault="00F0123C">
            <w:r>
              <w:rPr>
                <w:noProof/>
              </w:rPr>
              <w:drawing>
                <wp:anchor distT="0" distB="0" distL="114300" distR="114300" simplePos="0" relativeHeight="251658240" behindDoc="0" locked="0" layoutInCell="1" allowOverlap="1" wp14:anchorId="34113B9F" wp14:editId="0AB2D599">
                  <wp:simplePos x="0" y="0"/>
                  <wp:positionH relativeFrom="column">
                    <wp:posOffset>281305</wp:posOffset>
                  </wp:positionH>
                  <wp:positionV relativeFrom="paragraph">
                    <wp:posOffset>-6985</wp:posOffset>
                  </wp:positionV>
                  <wp:extent cx="1400400" cy="1080000"/>
                  <wp:effectExtent l="0" t="0" r="0" b="0"/>
                  <wp:wrapNone/>
                  <wp:docPr id="801871690" name="Imagen 1"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71690" name="Imagen 1" descr="Logotipo  El contenido generado por IA puede ser incorrec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00400" cy="1080000"/>
                          </a:xfrm>
                          <a:prstGeom prst="rect">
                            <a:avLst/>
                          </a:prstGeom>
                          <a:noFill/>
                          <a:ln>
                            <a:noFill/>
                          </a:ln>
                        </pic:spPr>
                      </pic:pic>
                    </a:graphicData>
                  </a:graphic>
                </wp:anchor>
              </w:drawing>
            </w:r>
          </w:p>
          <w:p w14:paraId="5DE32384" w14:textId="52DF6E9B" w:rsidR="00F0123C" w:rsidRDefault="00F0123C"/>
          <w:p w14:paraId="5826BB38" w14:textId="77777777" w:rsidR="00F0123C" w:rsidRDefault="00F0123C"/>
          <w:p w14:paraId="70318ACF" w14:textId="77777777" w:rsidR="00F0123C" w:rsidRDefault="00F0123C" w:rsidP="00F0123C"/>
          <w:p w14:paraId="1EBCD8EA" w14:textId="0415BF29" w:rsidR="00F0123C" w:rsidRDefault="00F0123C"/>
          <w:p w14:paraId="4A407C58" w14:textId="77777777" w:rsidR="00F0123C" w:rsidRDefault="00F0123C"/>
          <w:p w14:paraId="3F777D1A" w14:textId="77777777" w:rsidR="00F0123C" w:rsidRDefault="00F0123C"/>
          <w:p w14:paraId="4DE0B2A8" w14:textId="4624E51A" w:rsidR="00F0123C" w:rsidRDefault="00F0123C">
            <w:r>
              <w:t>Carné: 202308081</w:t>
            </w:r>
          </w:p>
        </w:tc>
      </w:tr>
    </w:tbl>
    <w:p w14:paraId="0BC2FB7C" w14:textId="3D09A0D9" w:rsidR="00003631" w:rsidRDefault="00003631" w:rsidP="001D5410">
      <w:pPr>
        <w:pStyle w:val="Ttulo1"/>
        <w:sectPr w:rsidR="00003631" w:rsidSect="00F0123C">
          <w:pgSz w:w="12240" w:h="15840" w:code="1"/>
          <w:pgMar w:top="1134" w:right="1134" w:bottom="1134" w:left="1134" w:header="709" w:footer="709" w:gutter="0"/>
          <w:cols w:space="708"/>
          <w:docGrid w:linePitch="360"/>
        </w:sectPr>
      </w:pPr>
      <w:r>
        <w:t>Tema</w:t>
      </w:r>
    </w:p>
    <w:p w14:paraId="32C17F3C" w14:textId="1450C812" w:rsidR="00003631" w:rsidRDefault="00003631" w:rsidP="00003631">
      <w:pPr>
        <w:pStyle w:val="Sinespaciado"/>
        <w:jc w:val="center"/>
      </w:pPr>
      <w:r>
        <w:rPr>
          <w:b/>
        </w:rPr>
        <w:t>Gobernanza y regulación de la Inteligencia Artificial</w:t>
      </w:r>
    </w:p>
    <w:p w14:paraId="32C17F3C" w14:textId="1450C812" w:rsidR="00003631" w:rsidRDefault="00003631" w:rsidP="00003631">
      <w:pPr>
        <w:pStyle w:val="Sinespaciado"/>
      </w:pPr>
      <w:r>
        <w:t>La gobernanza y regulación de la inteligencia artificial se refiere al conjunto de leyes, normas técnicas y marcos de gestión de riesgos que buscan asegurar que el desarrollo y uso de sistemas de IA sea seguro, transparente y responsable. Ante el crecimiento acelerado de estas tecnologías, distintos países y organismos internacionales han adoptado enfoques muy distintos: desde regulación vinculante y detallada hasta estándares voluntarios de adopción incentivada, lo que ha generado un panorama regulatorio fragmentado a nivel mundial.</w:t>
      </w:r>
    </w:p>
    <w:p w14:paraId="32C17F3C" w14:textId="1450C812" w:rsidR="00003631" w:rsidRDefault="00003631" w:rsidP="00003631">
      <w:pPr>
        <w:pStyle w:val="Sinespaciado"/>
      </w:pPr>
      <w:r>
        <w:t>La Unión Europea cuenta con el marco legal más completo y vinculante hasta la fecha: el Reglamento (UE) 2024/1689, conocido como AI Act, publicado en el Diario Oficial de la Unión Europea el 12 de julio de 2024 y vigente desde el 1 de agosto de ese año. El reglamento clasifica los sistemas de IA según su nivel de riesgo (inaceptable, alto, limitado y mínimo) y establece obligaciones proporcionales a ese riesgo. Su aplicación es progresiva: las prohibiciones sobre prácticas de IA consideradas inaceptables y las obligaciones de alfabetización en IA ya están vigentes, al igual que las reglas para proveedores de modelos de IA de propósito general, vigentes desde agosto de 2025.</w:t>
      </w:r>
    </w:p>
    <w:p w14:paraId="32C17F3C" w14:textId="1450C812" w:rsidR="00003631" w:rsidRDefault="00003631" w:rsidP="00003631">
      <w:pPr>
        <w:pStyle w:val="Sinespaciado"/>
      </w:pPr>
      <w:r>
        <w:t>Sin embargo, la implementación del AI Act ha enfrentado retrasos importantes. En noviembre de 2025 la Comisión Europea propuso el llamado Digital Omnibus, que pospone las obligaciones para los sistemas de alto riesgo del Anexo III (los de uso general, como los aplicados en empleo o crédito) del 2 de agosto de 2026 al 2 de diciembre de 2027, y las del Anexo I (productos regulados, como dispositivos médicos o maquinaria) hasta agosto de 2028. Aun así, las obligaciones de transparencia del Artículo 50, como la identificación de chatbots y contenido sintético ante los usuarios, se mantienen vigentes a partir de agosto de 2026, lo que evidencia la tensión entre la ambición regulatoria original y la dificultad práctica de implementarla al mismo ritmo que avanza la tecnología.</w:t>
      </w:r>
    </w:p>
    <w:p w14:paraId="32C17F3C" w14:textId="1450C812" w:rsidR="00003631" w:rsidRDefault="00003631" w:rsidP="00003631">
      <w:pPr>
        <w:pStyle w:val="Sinespaciado"/>
      </w:pPr>
      <w:r>
        <w:t>Estados Unidos, en contraste, no cuenta con una ley federal integral sobre inteligencia artificial. La regulación ha surgido principalmente a nivel estatal: California, Texas, Illinois y Colorado, entre otros, aprobaron leyes de IA vigentes desde enero de 2026 sobre temas como transparencia, sesgo algorítmico y uso en salud y empleo. El 11 de diciembre de 2025, el gobierno federal firmó una orden ejecutiva titulada Ensuring a National Policy Framework for Artificial Intelligence, que busca establecer un estándar federal mínimo y crear un equipo de litigio para impugnar leyes estatales consideradas excesivas, aunque excluye de esta intención a las leyes sobre seguridad infantil, infraestructura de cómputo y adquisiciones gubernamentales de IA.</w:t>
      </w:r>
    </w:p>
    <w:p w14:paraId="32C17F3C" w14:textId="1450C812" w:rsidR="00003631" w:rsidRDefault="00003631" w:rsidP="00003631">
      <w:pPr>
        <w:pStyle w:val="Sinespaciado"/>
      </w:pPr>
      <w:r>
        <w:t>Este intento de uniformar la regulación por vía ejecutiva enfrenta límites legales relevantes, ya que la preeminencia federal sobre las leyes estatales normalmente requiere una ley aprobada por el Congreso y no solamente una orden ejecutiva. De hecho, el Senado de Estados Unidos votó 99 a 1 en contra de incluir una moratoria de preeminencia federal sobre leyes estatales de IA en un proyecto de ley previo, lo que refleja la falta de consenso político para centralizar la regulación de la IA en ese país, en contraste con el enfoque más unificado y precautorio de la Unión Europea.</w:t>
      </w:r>
    </w:p>
    <w:p w14:paraId="32C17F3C" w14:textId="1450C812" w:rsidR="00003631" w:rsidRDefault="00003631" w:rsidP="00003631">
      <w:pPr>
        <w:pStyle w:val="Sinespaciado"/>
      </w:pPr>
      <w:r>
        <w:t>Ante la falta de regulación vinculante en buena parte del mundo, han cobrado especial relevancia los marcos voluntarios de gestión de riesgos, como el AI Risk Management Framework del Instituto Nacional de Estándares y Tecnología de Estados Unidos (NIST), estructurado en torno a cuatro funciones (gobernar, mapear, medir y gestionar), y la norma ISO/IEC 42001, publicada en 2023 como el primer estándar internacional certificable para sistemas de gestión de inteligencia artificial. Aunque su adopción es voluntaria, agencias como la Comisión Federal de Comercio y la Comisión de Bolsa y Valores de Estados Unidos ya hacen referencia a los principios del NIST AI RMF en sus lineamientos de cumplimiento, lo que ha convertido a estos marcos en un estándar de facto para muchas organizaciones.</w:t>
      </w:r>
    </w:p>
    <w:p w14:paraId="366BF7E1" w14:textId="5FBBA72F" w:rsidR="00003631" w:rsidRDefault="00003631" w:rsidP="001D5410">
      <w:pPr>
        <w:pStyle w:val="Sinespaciado"/>
        <w:sectPr w:rsidR="00003631" w:rsidSect="00003631">
          <w:type w:val="continuous"/>
          <w:pgSz w:w="12240" w:h="15840" w:code="1"/>
          <w:pgMar w:top="1134" w:right="1134" w:bottom="1134" w:left="1134" w:header="709" w:footer="709" w:gutter="0"/>
          <w:cols w:num="2" w:space="397"/>
          <w:docGrid w:linePitch="360"/>
        </w:sectPr>
      </w:pPr>
      <w:r>
        <w:t>Un análisis académico reciente que compara el AI Act, el NIST AI RMF y la norma ISO 42001 concluye que, si bien los tres marcos son complementarios entre sí, ninguno cubre de manera adecuada los riesgos específicos de los agentes autónomos de inteligencia artificial, como la orquestación de múltiples agentes, la delegación autónoma de decisiones y los comportamientos emergentes. Esto sugiere que, más allá de las diferencias entre el modelo regulatorio europeo y el estadounidense, la gobernanza de la IA en su conjunto todavía va por detrás del ritmo de evolución técnica, particularmente frente a los sistemas más autónomos.</w:t>
      </w:r>
    </w:p>
    <w:p w14:paraId="5BCBD9B6" w14:textId="002C30E5" w:rsidR="00003631" w:rsidRDefault="000C2400" w:rsidP="000C2400">
      <w:pPr>
        <w:pStyle w:val="Ttulo1"/>
      </w:pPr>
      <w:r>
        <w:lastRenderedPageBreak/>
        <w:t>Conclusiones</w:t>
      </w:r>
    </w:p>
    <w:p w14:paraId="5F212B0D" w14:textId="02F49448" w:rsidR="001D5410" w:rsidRDefault="001D5410" w:rsidP="001D5410">
      <w:pPr>
        <w:pStyle w:val="Conclusionesybibliografia"/>
        <w:numPr>
          <w:ilvl w:val="0"/>
          <w:numId w:val="1"/>
        </w:numPr>
      </w:pPr>
      <w:r>
        <w:t>La Unión Europea cuenta con el único marco legal vinculante e integral sobre inteligencia artificial, el AI Act, aunque su implementación enfrenta retrasos significativos a través del Digital Omnibus, lo que evidencia la dificultad de operativizar una regulación tan ambiciosa al mismo ritmo que avanza la tecnología.</w:t>
      </w:r>
    </w:p>
    <w:p w14:paraId="65747AE5" w14:textId="218D1422" w:rsidR="001D5410" w:rsidRDefault="001D5410" w:rsidP="001D5410">
      <w:pPr>
        <w:pStyle w:val="Conclusionesybibliografia"/>
        <w:numPr>
          <w:ilvl w:val="0"/>
          <w:numId w:val="1"/>
        </w:numPr>
      </w:pPr>
      <w:r>
        <w:t>Estados Unidos carece de una ley federal integral sobre IA; su regulación es fragmentada y ocurre principalmente a nivel estatal, mientras el gobierno federal intenta, por vía de orden ejecutiva, establecer un estándar mínimo y limitar las leyes estatales, sin que el Congreso haya respaldado ese enfoque de preeminencia federal.</w:t>
      </w:r>
    </w:p>
    <w:p w14:paraId="691DF560" w14:textId="0BDB1CAF" w:rsidR="001D5410" w:rsidRDefault="001D5410" w:rsidP="001D5410">
      <w:pPr>
        <w:pStyle w:val="Conclusionesybibliografia"/>
        <w:numPr>
          <w:ilvl w:val="0"/>
          <w:numId w:val="1"/>
        </w:numPr>
      </w:pPr>
      <w:r>
        <w:t>Ante los vacíos regulatorios, marcos voluntarios como el NIST AI RMF y la norma ISO/IEC 42001 se han convertido en referentes de facto a nivel global, pero investigaciones recientes muestran que ninguno de los marcos principales, incluido el AI Act, cubre adecuadamente los riesgos de los agentes autónomos de IA, lo que indica que la gobernanza aún va por detrás de la evolución técnica.</w:t>
      </w:r>
    </w:p>
    <w:p w14:paraId="074DDD4D" w14:textId="6FE81F31" w:rsidR="000C2400" w:rsidRDefault="001D5410" w:rsidP="001D5410">
      <w:pPr>
        <w:pStyle w:val="Ttulo1"/>
      </w:pPr>
      <w:r>
        <w:t>Bibliografía</w:t>
      </w:r>
    </w:p>
    <w:p w14:paraId="68B627D7" w14:textId="77777777" w:rsidR="001D5410" w:rsidRDefault="001D5410" w:rsidP="001D5410">
      <w:pPr>
        <w:pStyle w:val="Sinespaciado"/>
      </w:pPr>
      <w:r>
        <w:t>Reglamento (UE) 2024/1689 del Parlamento Europeo y del Consejo (AI Act). Cronología de implementación disponible en: https://artificialintelligenceact.eu/implementation-timeline/</w:t>
      </w:r>
    </w:p>
    <w:p w14:paraId="509C8727" w14:textId="77777777" w:rsidR="001D5410" w:rsidRDefault="001D5410" w:rsidP="001D5410">
      <w:pPr>
        <w:pStyle w:val="Sinespaciado"/>
      </w:pPr>
      <w:r>
        <w:t>Kennedys Law (2026). The EU AI Act implementation timeline: understanding the next deadline for compliance. Disponible en: https://www.kennedyslaw.com/en/thought-leadership/article/2026/the-eu-ai-act-implementation-timeline-understanding-the-next-deadline-for-compliance/</w:t>
      </w:r>
    </w:p>
    <w:p w14:paraId="19738596" w14:textId="77777777" w:rsidR="001D5410" w:rsidRDefault="001D5410" w:rsidP="001D5410">
      <w:pPr>
        <w:pStyle w:val="Sinespaciado"/>
      </w:pPr>
      <w:r>
        <w:t>Baker Botts (enero de 2026). U.S. Artificial Intelligence Law Update: Navigating the Evolving State and Federal Regulatory Landscape. Disponible en: https://www.bakerbotts.com/thought-leadership/publications/2026/january/us-ai-law-update</w:t>
      </w:r>
    </w:p>
    <w:p w14:paraId="68B627D7" w14:textId="77777777" w:rsidR="001D5410" w:rsidRDefault="001D5410" w:rsidP="001D5410">
      <w:pPr>
        <w:pStyle w:val="Sinespaciado"/>
      </w:pPr>
      <w:r>
        <w:t>Tanveer, R. (2026). AI Governance Frameworks: ISO/IEC 42001, NIST AI RMF, and the EU AI Act. SSRN. Disponible en: https://papers.ssrn.com/sol3/papers.cfm?abstract_id=6740438</w:t>
      </w:r>
    </w:p>
    <w:p w14:paraId="51CFBC1D" w14:textId="77777777" w:rsidR="001D5410" w:rsidRPr="001D5410" w:rsidRDefault="001D5410" w:rsidP="001D5410"/>
    <w:sectPr w:rsidR="001D5410" w:rsidRPr="001D5410" w:rsidSect="00003631">
      <w:type w:val="continuous"/>
      <w:pgSz w:w="12240" w:h="15840" w:code="1"/>
      <w:pgMar w:top="1134" w:right="1134" w:bottom="1134" w:left="1134" w:header="709" w:footer="709" w:gutter="0"/>
      <w:cols w:space="39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F515F7"/>
    <w:multiLevelType w:val="hybridMultilevel"/>
    <w:tmpl w:val="1D269912"/>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1704133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873"/>
    <w:rsid w:val="00003631"/>
    <w:rsid w:val="000C2400"/>
    <w:rsid w:val="001D42C7"/>
    <w:rsid w:val="001D5410"/>
    <w:rsid w:val="002553AD"/>
    <w:rsid w:val="00442873"/>
    <w:rsid w:val="0055503B"/>
    <w:rsid w:val="00F0123C"/>
    <w:rsid w:val="00F5796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BA525"/>
  <w15:chartTrackingRefBased/>
  <w15:docId w15:val="{7CD298FC-A8CA-4C25-AEB0-92D834B67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23C"/>
    <w:rPr>
      <w:rFonts w:ascii="Times New Roman" w:hAnsi="Times New Roman"/>
    </w:rPr>
  </w:style>
  <w:style w:type="paragraph" w:styleId="Ttulo1">
    <w:name w:val="heading 1"/>
    <w:basedOn w:val="Normal"/>
    <w:next w:val="Normal"/>
    <w:link w:val="Ttulo1Car"/>
    <w:uiPriority w:val="9"/>
    <w:qFormat/>
    <w:rsid w:val="00003631"/>
    <w:pPr>
      <w:keepNext/>
      <w:keepLines/>
      <w:spacing w:before="360" w:after="80"/>
      <w:jc w:val="center"/>
      <w:outlineLvl w:val="0"/>
    </w:pPr>
    <w:rPr>
      <w:rFonts w:eastAsiaTheme="majorEastAsia" w:cstheme="majorBidi"/>
      <w:b/>
      <w:color w:val="000000" w:themeColor="text1"/>
      <w:sz w:val="28"/>
      <w:szCs w:val="40"/>
    </w:rPr>
  </w:style>
  <w:style w:type="paragraph" w:styleId="Ttulo2">
    <w:name w:val="heading 2"/>
    <w:basedOn w:val="Normal"/>
    <w:next w:val="Normal"/>
    <w:link w:val="Ttulo2Car"/>
    <w:uiPriority w:val="9"/>
    <w:semiHidden/>
    <w:unhideWhenUsed/>
    <w:rsid w:val="004428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4287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428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428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428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28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28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28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3631"/>
    <w:rPr>
      <w:rFonts w:ascii="Times New Roman" w:eastAsiaTheme="majorEastAsia" w:hAnsi="Times New Roman" w:cstheme="majorBidi"/>
      <w:b/>
      <w:color w:val="000000" w:themeColor="text1"/>
      <w:sz w:val="28"/>
      <w:szCs w:val="40"/>
    </w:rPr>
  </w:style>
  <w:style w:type="character" w:customStyle="1" w:styleId="Ttulo2Car">
    <w:name w:val="Título 2 Car"/>
    <w:basedOn w:val="Fuentedeprrafopredeter"/>
    <w:link w:val="Ttulo2"/>
    <w:uiPriority w:val="9"/>
    <w:semiHidden/>
    <w:rsid w:val="0044287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4287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4287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4287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428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28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28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2873"/>
    <w:rPr>
      <w:rFonts w:eastAsiaTheme="majorEastAsia" w:cstheme="majorBidi"/>
      <w:color w:val="272727" w:themeColor="text1" w:themeTint="D8"/>
    </w:rPr>
  </w:style>
  <w:style w:type="paragraph" w:styleId="Ttulo">
    <w:name w:val="Title"/>
    <w:basedOn w:val="Normal"/>
    <w:next w:val="Normal"/>
    <w:link w:val="TtuloCar"/>
    <w:uiPriority w:val="10"/>
    <w:rsid w:val="00442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28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rsid w:val="004428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28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rsid w:val="00442873"/>
    <w:pPr>
      <w:spacing w:before="160"/>
      <w:jc w:val="center"/>
    </w:pPr>
    <w:rPr>
      <w:i/>
      <w:iCs/>
      <w:color w:val="404040" w:themeColor="text1" w:themeTint="BF"/>
    </w:rPr>
  </w:style>
  <w:style w:type="character" w:customStyle="1" w:styleId="CitaCar">
    <w:name w:val="Cita Car"/>
    <w:basedOn w:val="Fuentedeprrafopredeter"/>
    <w:link w:val="Cita"/>
    <w:uiPriority w:val="29"/>
    <w:rsid w:val="00442873"/>
    <w:rPr>
      <w:i/>
      <w:iCs/>
      <w:color w:val="404040" w:themeColor="text1" w:themeTint="BF"/>
    </w:rPr>
  </w:style>
  <w:style w:type="paragraph" w:styleId="Prrafodelista">
    <w:name w:val="List Paragraph"/>
    <w:basedOn w:val="Normal"/>
    <w:uiPriority w:val="34"/>
    <w:rsid w:val="00442873"/>
    <w:pPr>
      <w:ind w:left="720"/>
      <w:contextualSpacing/>
    </w:pPr>
  </w:style>
  <w:style w:type="character" w:styleId="nfasisintenso">
    <w:name w:val="Intense Emphasis"/>
    <w:basedOn w:val="Fuentedeprrafopredeter"/>
    <w:uiPriority w:val="21"/>
    <w:rsid w:val="00442873"/>
    <w:rPr>
      <w:i/>
      <w:iCs/>
      <w:color w:val="0F4761" w:themeColor="accent1" w:themeShade="BF"/>
    </w:rPr>
  </w:style>
  <w:style w:type="paragraph" w:styleId="Citadestacada">
    <w:name w:val="Intense Quote"/>
    <w:basedOn w:val="Normal"/>
    <w:next w:val="Normal"/>
    <w:link w:val="CitadestacadaCar"/>
    <w:uiPriority w:val="30"/>
    <w:rsid w:val="00442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42873"/>
    <w:rPr>
      <w:i/>
      <w:iCs/>
      <w:color w:val="0F4761" w:themeColor="accent1" w:themeShade="BF"/>
    </w:rPr>
  </w:style>
  <w:style w:type="character" w:styleId="Referenciaintensa">
    <w:name w:val="Intense Reference"/>
    <w:basedOn w:val="Fuentedeprrafopredeter"/>
    <w:uiPriority w:val="32"/>
    <w:rsid w:val="00442873"/>
    <w:rPr>
      <w:b/>
      <w:bCs/>
      <w:smallCaps/>
      <w:color w:val="0F4761" w:themeColor="accent1" w:themeShade="BF"/>
      <w:spacing w:val="5"/>
    </w:rPr>
  </w:style>
  <w:style w:type="table" w:styleId="Tablaconcuadrcula">
    <w:name w:val="Table Grid"/>
    <w:basedOn w:val="Tablanormal"/>
    <w:uiPriority w:val="39"/>
    <w:rsid w:val="00F012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aliases w:val="Contenido"/>
    <w:uiPriority w:val="1"/>
    <w:qFormat/>
    <w:rsid w:val="00003631"/>
    <w:pPr>
      <w:spacing w:before="120" w:after="0" w:line="240" w:lineRule="auto"/>
      <w:ind w:left="284" w:firstLine="709"/>
      <w:jc w:val="both"/>
    </w:pPr>
    <w:rPr>
      <w:rFonts w:ascii="Times New Roman" w:hAnsi="Times New Roman"/>
    </w:rPr>
  </w:style>
  <w:style w:type="paragraph" w:customStyle="1" w:styleId="Conclusionesybibliografia">
    <w:name w:val="Conclusiones y bibliografia"/>
    <w:basedOn w:val="Normal"/>
    <w:link w:val="ConclusionesybibliografiaCar"/>
    <w:qFormat/>
    <w:rsid w:val="001D5410"/>
    <w:pPr>
      <w:spacing w:before="120" w:after="120" w:line="360" w:lineRule="auto"/>
      <w:jc w:val="both"/>
    </w:pPr>
  </w:style>
  <w:style w:type="character" w:customStyle="1" w:styleId="ConclusionesybibliografiaCar">
    <w:name w:val="Conclusiones y bibliografia Car"/>
    <w:basedOn w:val="Fuentedeprrafopredeter"/>
    <w:link w:val="Conclusionesybibliografia"/>
    <w:rsid w:val="001D5410"/>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3</Pages>
  <Words>1118</Words>
  <Characters>6153</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Julián Barrios Cifuentes</dc:creator>
  <cp:keywords/>
  <dc:description/>
  <cp:lastModifiedBy>Diego Julián Barrios Cifuentes</cp:lastModifiedBy>
  <cp:revision>2</cp:revision>
  <dcterms:created xsi:type="dcterms:W3CDTF">2026-07-06T00:29:00Z</dcterms:created>
  <dcterms:modified xsi:type="dcterms:W3CDTF">2026-07-06T03:29:00Z</dcterms:modified>
</cp:coreProperties>
</file>