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Lista 03 — Implantação de COBIT 2019 em Empresas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TADS · Governança e Conformidade Tecnológica (JCRGCTC) · Prof. Lineu Mialaret · Douglas · 09/09/2026</w:t>
      </w:r>
    </w:p>
    <w:p>
      <w:pPr>
        <w:pStyle w:val="Heading1"/>
        <w:pBdr>
          <w:bottom w:val="single" w:color="808080" w:sz="6" w:space="4"/>
        </w:pBdr>
        <w:spacing w:after="110" w:before="200"/>
      </w:pPr>
      <w:r>
        <w:rPr>
          <w:b/>
          <w:bCs/>
          <w:sz w:val="24"/>
          <w:szCs w:val="24"/>
        </w:rPr>
        <w:t xml:space="preserve">Questão 1 — Síntese do artigo de Lobo e Lobo (2021)</w:t>
      </w:r>
    </w:p>
    <w:p>
      <w:pPr>
        <w:spacing w:after="110" w:line="230"/>
      </w:pPr>
      <w:r>
        <w:rPr>
          <w:i/>
          <w:iCs/>
          <w:color w:val="595959"/>
          <w:sz w:val="18"/>
          <w:szCs w:val="18"/>
        </w:rPr>
        <w:t xml:space="preserve">LOBO, Eduardo; LOBO, Márcia Eunice. A adoção do Control Objectives for Information and related Technology – COBIT como ferramenta de governança e de compliance nas organizações públicas: uma proposta para os Institutos Federais de Educação Básica, Técnica e Tecnológica. 2021.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Objetivo e problema de pesquisa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artigo tem por objetivo </w:t>
      </w:r>
      <w:r>
        <w:rPr>
          <w:b/>
          <w:bCs/>
          <w:sz w:val="20"/>
          <w:szCs w:val="20"/>
        </w:rPr>
        <w:t xml:space="preserve">identificar as funcionalidades do COBIT e propor um modelo conceitual de governança e de compliance voltado às organizações públicas</w:t>
      </w:r>
      <w:r>
        <w:rPr>
          <w:sz w:val="20"/>
          <w:szCs w:val="20"/>
        </w:rPr>
        <w:t xml:space="preserve">, em especial aos Institutos Federais. O problema de pesquisa é direto: </w:t>
      </w:r>
      <w:r>
        <w:rPr>
          <w:i/>
          <w:iCs/>
          <w:sz w:val="20"/>
          <w:szCs w:val="20"/>
        </w:rPr>
        <w:t xml:space="preserve">o que é necessário para a implantação de um modelo de governança que possibilite uma rápida tomada de decisão no contexto do IFSC?</w:t>
      </w:r>
      <w:r>
        <w:rPr>
          <w:sz w:val="20"/>
          <w:szCs w:val="20"/>
        </w:rPr>
        <w:t xml:space="preserve"> A justificativa é prática — os autores não encontraram, no levantamento institucional, uma organização local que reunisse sistema de governança, normas, processos e estruturas capazes de sustentar decisões rápidas pelos gestores.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pano de fundo é a migração, a partir do fim do século XX, de conceitos de gestão criados para o setor privado rumo à esfera pública, sob a busca por eficiência. Os autores registram que o COBIT vem sendo usado na Administração Pública Federal </w:t>
      </w:r>
      <w:r>
        <w:rPr>
          <w:b/>
          <w:bCs/>
          <w:sz w:val="20"/>
          <w:szCs w:val="20"/>
        </w:rPr>
        <w:t xml:space="preserve">desde 2007</w:t>
      </w:r>
      <w:r>
        <w:rPr>
          <w:sz w:val="20"/>
          <w:szCs w:val="20"/>
        </w:rPr>
        <w:t xml:space="preserve"> como base para regulamentação de princípios e diretrizes, definição de processos e estruturas organizacionais, e que o </w:t>
      </w:r>
      <w:r>
        <w:rPr>
          <w:b/>
          <w:bCs/>
          <w:sz w:val="20"/>
          <w:szCs w:val="20"/>
        </w:rPr>
        <w:t xml:space="preserve">TCU já realizou auditorias e publicou acórdãos que o utilizam como referência</w:t>
      </w:r>
      <w:r>
        <w:rPr>
          <w:sz w:val="20"/>
          <w:szCs w:val="20"/>
        </w:rPr>
        <w:t xml:space="preserve">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Governança, compliance e integridade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governança pública origina-se da governança corporativa, definida pela OCDE como o conjunto de relações entre administração, conselho, acionistas e demais partes interessadas. Mesquita (2019) define </w:t>
      </w:r>
      <w:r>
        <w:rPr>
          <w:b/>
          <w:bCs/>
          <w:sz w:val="20"/>
          <w:szCs w:val="20"/>
        </w:rPr>
        <w:t xml:space="preserve">compliance público</w:t>
      </w:r>
      <w:r>
        <w:rPr>
          <w:sz w:val="20"/>
          <w:szCs w:val="20"/>
        </w:rPr>
        <w:t xml:space="preserve"> como o programa normativo de integridade elaborado pelos órgãos da Administração Pública, que reúne mecanismos e procedimentos setoriais para gerir riscos, fortalecer a comunicação interna, dar segurança e transparência às informações, incentivar a denúncia de irregularidades e controlar a corrupção. Coelho (2016) rebate a estranheza de associar compliance ao setor público: o Poder Público não só deve se submeter à legislação como </w:t>
      </w:r>
      <w:r>
        <w:rPr>
          <w:b/>
          <w:bCs/>
          <w:sz w:val="20"/>
          <w:szCs w:val="20"/>
        </w:rPr>
        <w:t xml:space="preserve">deve dar o exemplo</w:t>
      </w:r>
      <w:r>
        <w:rPr>
          <w:sz w:val="20"/>
          <w:szCs w:val="20"/>
        </w:rPr>
        <w:t xml:space="preserve"> de boa-fé, legalidade e boa governança.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texto cita ainda a norma </w:t>
      </w:r>
      <w:r>
        <w:rPr>
          <w:b/>
          <w:bCs/>
          <w:sz w:val="20"/>
          <w:szCs w:val="20"/>
        </w:rPr>
        <w:t xml:space="preserve">ISO 37301</w:t>
      </w:r>
      <w:r>
        <w:rPr>
          <w:sz w:val="20"/>
          <w:szCs w:val="20"/>
        </w:rPr>
        <w:t xml:space="preserve"> (sistemas de gestão de compliance), cuja implementação varia conforme a dimensão e a maturidade da organização, e observa que no Brasil o compliance passou a ser compreendido como </w:t>
      </w:r>
      <w:r>
        <w:rPr>
          <w:b/>
          <w:bCs/>
          <w:sz w:val="20"/>
          <w:szCs w:val="20"/>
        </w:rPr>
        <w:t xml:space="preserve">“integridade”</w:t>
      </w:r>
      <w:r>
        <w:rPr>
          <w:sz w:val="20"/>
          <w:szCs w:val="20"/>
        </w:rPr>
        <w:t xml:space="preserve"> sobretudo após a Lei Anticorrupção (Lei 12.846/2013) e o Decreto 8.420/2015, que consagrou a expressão “programa de integridade”. Giovanini (2017) sustenta que integridade é conceito mais amplo que compliance, por compreender “fazer o certo independentemente das normas e das leis”.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O COBIT: evolução e o equilíbrio entre conformidade e rendimento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COBIT é apresentado como um </w:t>
      </w:r>
      <w:r>
        <w:rPr>
          <w:b/>
          <w:bCs/>
          <w:sz w:val="20"/>
          <w:szCs w:val="20"/>
        </w:rPr>
        <w:t xml:space="preserve">framework</w:t>
      </w:r>
      <w:r>
        <w:rPr>
          <w:sz w:val="20"/>
          <w:szCs w:val="20"/>
        </w:rPr>
        <w:t xml:space="preserve"> para gestão de projetos e processos de TI, aplicável também a outras áreas. Sua trajetória: proposto em </w:t>
      </w:r>
      <w:r>
        <w:rPr>
          <w:b/>
          <w:bCs/>
          <w:sz w:val="20"/>
          <w:szCs w:val="20"/>
        </w:rPr>
        <w:t xml:space="preserve">1996</w:t>
      </w:r>
      <w:r>
        <w:rPr>
          <w:sz w:val="20"/>
          <w:szCs w:val="20"/>
        </w:rPr>
        <w:t xml:space="preserve"> como framework de auditoria e controles de TI; em </w:t>
      </w:r>
      <w:r>
        <w:rPr>
          <w:b/>
          <w:bCs/>
          <w:sz w:val="20"/>
          <w:szCs w:val="20"/>
        </w:rPr>
        <w:t xml:space="preserve">2005</w:t>
      </w:r>
      <w:r>
        <w:rPr>
          <w:sz w:val="20"/>
          <w:szCs w:val="20"/>
        </w:rPr>
        <w:t xml:space="preserve">, o COBIT 4.0 incorporou o conceito de governança de TI; o </w:t>
      </w:r>
      <w:r>
        <w:rPr>
          <w:b/>
          <w:bCs/>
          <w:sz w:val="20"/>
          <w:szCs w:val="20"/>
        </w:rPr>
        <w:t xml:space="preserve">COBIT 5</w:t>
      </w:r>
      <w:r>
        <w:rPr>
          <w:sz w:val="20"/>
          <w:szCs w:val="20"/>
        </w:rPr>
        <w:t xml:space="preserve"> tornou-se framework integrador de governança e gestão corporativa de TI; e a versão de </w:t>
      </w:r>
      <w:r>
        <w:rPr>
          <w:b/>
          <w:bCs/>
          <w:sz w:val="20"/>
          <w:szCs w:val="20"/>
        </w:rPr>
        <w:t xml:space="preserve">2019</w:t>
      </w:r>
      <w:r>
        <w:rPr>
          <w:sz w:val="20"/>
          <w:szCs w:val="20"/>
        </w:rPr>
        <w:t xml:space="preserve"> passou a contemplar também o compliance.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eixo conceitual do artigo é o </w:t>
      </w:r>
      <w:r>
        <w:rPr>
          <w:b/>
          <w:bCs/>
          <w:sz w:val="20"/>
          <w:szCs w:val="20"/>
        </w:rPr>
        <w:t xml:space="preserve">equilíbrio entre conformidade (conformance) e rendimento (performance)</w:t>
      </w:r>
      <w:r>
        <w:rPr>
          <w:sz w:val="20"/>
          <w:szCs w:val="20"/>
        </w:rPr>
        <w:t xml:space="preserve">. A conformidade abrange a aderência à legislação, às políticas internas e aos requisitos de auditoria; o rendimento busca resultados, eficiência, efetividade e crescimento. Transposto à área pública, esse equilíbrio se traduz na otimização de recursos somada à observância dos princípios da administração pública: legalidade, impessoalidade, moralidade, publicidade e eficiência.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Os seis princípios do sistema de governança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Os autores percorrem os seis princípios do COBIT 2019 e os traduzem para o modelo proposto:</w:t>
      </w:r>
    </w:p>
    <w:p>
      <w:pPr>
        <w:pStyle w:val="ListParagraph"/>
        <w:numPr>
          <w:ilvl w:val="0"/>
          <w:numId w:val="2"/>
        </w:numPr>
        <w:spacing w:after="40" w:line="230"/>
        <w:jc w:val="both"/>
      </w:pPr>
      <w:r>
        <w:rPr>
          <w:b/>
          <w:bCs/>
          <w:sz w:val="20"/>
          <w:szCs w:val="20"/>
        </w:rPr>
        <w:t xml:space="preserve">Criação de valor</w:t>
      </w:r>
      <w:r>
        <w:rPr>
          <w:sz w:val="20"/>
          <w:szCs w:val="20"/>
        </w:rPr>
        <w:t xml:space="preserve"> — o modelo deve ser ferramenta útil à gestão, dando visão clara do presente e do futuro, com indicadores precisos.</w:t>
      </w:r>
    </w:p>
    <w:p>
      <w:pPr>
        <w:pStyle w:val="ListParagraph"/>
        <w:numPr>
          <w:ilvl w:val="0"/>
          <w:numId w:val="2"/>
        </w:numPr>
        <w:spacing w:after="40" w:line="230"/>
        <w:jc w:val="both"/>
      </w:pPr>
      <w:r>
        <w:rPr>
          <w:b/>
          <w:bCs/>
          <w:sz w:val="20"/>
          <w:szCs w:val="20"/>
        </w:rPr>
        <w:t xml:space="preserve">Abordagem holística</w:t>
      </w:r>
      <w:r>
        <w:rPr>
          <w:sz w:val="20"/>
          <w:szCs w:val="20"/>
        </w:rPr>
        <w:t xml:space="preserve"> — deve contemplar a realidade da organização a partir de seus documentos institucionais (estatuto, regimento geral, PDI).</w:t>
      </w:r>
    </w:p>
    <w:p>
      <w:pPr>
        <w:pStyle w:val="ListParagraph"/>
        <w:numPr>
          <w:ilvl w:val="0"/>
          <w:numId w:val="2"/>
        </w:numPr>
        <w:spacing w:after="40" w:line="230"/>
        <w:jc w:val="both"/>
      </w:pPr>
      <w:r>
        <w:rPr>
          <w:b/>
          <w:bCs/>
          <w:sz w:val="20"/>
          <w:szCs w:val="20"/>
        </w:rPr>
        <w:t xml:space="preserve">Dinamicidade</w:t>
      </w:r>
      <w:r>
        <w:rPr>
          <w:sz w:val="20"/>
          <w:szCs w:val="20"/>
        </w:rPr>
        <w:t xml:space="preserve"> — deve permitir atualizações e simulações.</w:t>
      </w:r>
    </w:p>
    <w:p>
      <w:pPr>
        <w:pStyle w:val="ListParagraph"/>
        <w:numPr>
          <w:ilvl w:val="0"/>
          <w:numId w:val="2"/>
        </w:numPr>
        <w:spacing w:after="40" w:line="230"/>
        <w:jc w:val="both"/>
      </w:pPr>
      <w:r>
        <w:rPr>
          <w:b/>
          <w:bCs/>
          <w:sz w:val="20"/>
          <w:szCs w:val="20"/>
        </w:rPr>
        <w:t xml:space="preserve">Distinção entre governança e gestão</w:t>
      </w:r>
      <w:r>
        <w:rPr>
          <w:sz w:val="20"/>
          <w:szCs w:val="20"/>
        </w:rPr>
        <w:t xml:space="preserve"> — o modelo é ferramenta de governança e compliance que apoia a gestão, e não a gestão em si.</w:t>
      </w:r>
    </w:p>
    <w:p>
      <w:pPr>
        <w:pStyle w:val="ListParagraph"/>
        <w:numPr>
          <w:ilvl w:val="0"/>
          <w:numId w:val="2"/>
        </w:numPr>
        <w:spacing w:after="40" w:line="230"/>
        <w:jc w:val="both"/>
      </w:pPr>
      <w:r>
        <w:rPr>
          <w:b/>
          <w:bCs/>
          <w:sz w:val="20"/>
          <w:szCs w:val="20"/>
        </w:rPr>
        <w:t xml:space="preserve">Adequação</w:t>
      </w:r>
      <w:r>
        <w:rPr>
          <w:sz w:val="20"/>
          <w:szCs w:val="20"/>
        </w:rPr>
        <w:t xml:space="preserve"> — princípio emprestado da área da Qualidade (Juran): os requisitos devem ser aderentes ao cenário real.</w:t>
      </w:r>
    </w:p>
    <w:p>
      <w:pPr>
        <w:pStyle w:val="ListParagraph"/>
        <w:numPr>
          <w:ilvl w:val="0"/>
          <w:numId w:val="2"/>
        </w:numPr>
        <w:spacing w:after="40" w:line="230"/>
        <w:jc w:val="both"/>
      </w:pPr>
      <w:r>
        <w:rPr>
          <w:b/>
          <w:bCs/>
          <w:sz w:val="20"/>
          <w:szCs w:val="20"/>
        </w:rPr>
        <w:t xml:space="preserve">End-to-end</w:t>
      </w:r>
      <w:r>
        <w:rPr>
          <w:sz w:val="20"/>
          <w:szCs w:val="20"/>
        </w:rPr>
        <w:t xml:space="preserve"> — deve atender à organização de ponta a ponta, considerando todos os processos, atores e características locais.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Fatores de projeto adaptados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Os dez fatores de projeto do COBIT 2019 são reinterpretados para o contexto público: a estratégia da empresa vira o </w:t>
      </w:r>
      <w:r>
        <w:rPr>
          <w:b/>
          <w:bCs/>
          <w:sz w:val="20"/>
          <w:szCs w:val="20"/>
        </w:rPr>
        <w:t xml:space="preserve">PDI</w:t>
      </w:r>
      <w:r>
        <w:rPr>
          <w:sz w:val="20"/>
          <w:szCs w:val="20"/>
        </w:rPr>
        <w:t xml:space="preserve">; as metas, o </w:t>
      </w:r>
      <w:r>
        <w:rPr>
          <w:b/>
          <w:bCs/>
          <w:sz w:val="20"/>
          <w:szCs w:val="20"/>
        </w:rPr>
        <w:t xml:space="preserve">Plano de Gestão</w:t>
      </w:r>
      <w:r>
        <w:rPr>
          <w:sz w:val="20"/>
          <w:szCs w:val="20"/>
        </w:rPr>
        <w:t xml:space="preserve">; o perfil de riscos, o </w:t>
      </w:r>
      <w:r>
        <w:rPr>
          <w:b/>
          <w:bCs/>
          <w:sz w:val="20"/>
          <w:szCs w:val="20"/>
        </w:rPr>
        <w:t xml:space="preserve">Planejamento Estratégico</w:t>
      </w:r>
      <w:r>
        <w:rPr>
          <w:sz w:val="20"/>
          <w:szCs w:val="20"/>
        </w:rPr>
        <w:t xml:space="preserve">; os assuntos de tecnologia, o </w:t>
      </w:r>
      <w:r>
        <w:rPr>
          <w:b/>
          <w:bCs/>
          <w:sz w:val="20"/>
          <w:szCs w:val="20"/>
        </w:rPr>
        <w:t xml:space="preserve">Diagnóstico da Infraestrutura</w:t>
      </w:r>
      <w:r>
        <w:rPr>
          <w:sz w:val="20"/>
          <w:szCs w:val="20"/>
        </w:rPr>
        <w:t xml:space="preserve">; o papel da TI, o perfil da própria organização; o modelo de suprimento, as formas de autossustentabilidade. Dessa transposição resultam </w:t>
      </w:r>
      <w:r>
        <w:rPr>
          <w:b/>
          <w:bCs/>
          <w:sz w:val="20"/>
          <w:szCs w:val="20"/>
        </w:rPr>
        <w:t xml:space="preserve">oito fatores adaptados</w:t>
      </w:r>
      <w:r>
        <w:rPr>
          <w:sz w:val="20"/>
          <w:szCs w:val="20"/>
        </w:rPr>
        <w:t xml:space="preserve">: estratégia da organização; metas da organização; perfil de riscos e ameaças; diagnóstico da infraestrutura; requisitos de compliance; perfil da organização; fonte de recursos; e implementação do modelo.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Grupos de interesse e partícipes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Quadro 1 traduz as categorias do COBIT para a organização pública e para o IFSC. No </w:t>
      </w:r>
      <w:r>
        <w:rPr>
          <w:b/>
          <w:bCs/>
          <w:sz w:val="20"/>
          <w:szCs w:val="20"/>
        </w:rPr>
        <w:t xml:space="preserve">ambiente interno</w:t>
      </w:r>
      <w:r>
        <w:rPr>
          <w:sz w:val="20"/>
          <w:szCs w:val="20"/>
        </w:rPr>
        <w:t xml:space="preserve">: conselhos → Conselho Superior, CODIR e Colegiado de Campus; gestão executiva → Reitoria, Pró-Reitorias e Diretorias de Campus; gerentes de negócio → diretorias sistêmicas e chefias de ensino, pesquisa, extensão e administração; gerentes de TI → chefes de departamento e coordenadorias; asseguradores → Auditoria Interna, Assessoria de Correição e Transparência e CGU; gestão de riscos → Unidade e Comitê de Gestão e Integridade. No </w:t>
      </w:r>
      <w:r>
        <w:rPr>
          <w:b/>
          <w:bCs/>
          <w:sz w:val="20"/>
          <w:szCs w:val="20"/>
        </w:rPr>
        <w:t xml:space="preserve">ambiente externo</w:t>
      </w:r>
      <w:r>
        <w:rPr>
          <w:sz w:val="20"/>
          <w:szCs w:val="20"/>
        </w:rPr>
        <w:t xml:space="preserve">: reguladores → MEC, SETEC, INEP e CGU; parceiros → sociedade e entidades relacionadas; fornecedores → qualificação e listagem por processo. Os autores destacam que </w:t>
      </w:r>
      <w:r>
        <w:rPr>
          <w:b/>
          <w:bCs/>
          <w:sz w:val="20"/>
          <w:szCs w:val="20"/>
        </w:rPr>
        <w:t xml:space="preserve">os servidores federais são o principal elemento do modelo</w:t>
      </w:r>
      <w:r>
        <w:rPr>
          <w:sz w:val="20"/>
          <w:szCs w:val="20"/>
        </w:rPr>
        <w:t xml:space="preserve"> e que um plano de gestão de pessoas é necessário para identificar gargalos e necessidades de capacitação.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Documentos institucionais e níveis de maturidade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Quadro 2 associa cada fator de projeto aos documentos internos e externos correspondentes: Planejamento Estratégico e PDI; Plano de Oferta de Cursos e Vagas e Plano Anual de Trabalho; matriz SWOT; PETIC e PDTIC; Política de Governança, Cadeia de Valor, Plano de Integridade e Plano de Gestão; relatórios da CPA; recursos da LOA; e relatórios de implementação e de gestão. Do lado externo, a Lei 11.892/2008 (criação dos Institutos Federais), o PNE, as normativas da CGU e do TCU e a Portaria MEC 713/2021.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Os </w:t>
      </w:r>
      <w:r>
        <w:rPr>
          <w:b/>
          <w:bCs/>
          <w:sz w:val="20"/>
          <w:szCs w:val="20"/>
        </w:rPr>
        <w:t xml:space="preserve">níveis de maturidade</w:t>
      </w:r>
      <w:r>
        <w:rPr>
          <w:sz w:val="20"/>
          <w:szCs w:val="20"/>
        </w:rPr>
        <w:t xml:space="preserve"> adotados, de zero a cinco, seguem o COBIT 2019: </w:t>
      </w:r>
      <w:r>
        <w:rPr>
          <w:b/>
          <w:bCs/>
          <w:sz w:val="20"/>
          <w:szCs w:val="20"/>
        </w:rPr>
        <w:t xml:space="preserve">0</w:t>
      </w:r>
      <w:r>
        <w:rPr>
          <w:sz w:val="20"/>
          <w:szCs w:val="20"/>
        </w:rPr>
        <w:t xml:space="preserve"> incompleto ou não iniciado; </w:t>
      </w:r>
      <w:r>
        <w:rPr>
          <w:b/>
          <w:bCs/>
          <w:sz w:val="20"/>
          <w:szCs w:val="20"/>
        </w:rPr>
        <w:t xml:space="preserve">1</w:t>
      </w:r>
      <w:r>
        <w:rPr>
          <w:sz w:val="20"/>
          <w:szCs w:val="20"/>
        </w:rPr>
        <w:t xml:space="preserve"> inicial (mapeamento concluído, mas não implementado); </w:t>
      </w:r>
      <w:r>
        <w:rPr>
          <w:b/>
          <w:bCs/>
          <w:sz w:val="20"/>
          <w:szCs w:val="20"/>
        </w:rPr>
        <w:t xml:space="preserve">2</w:t>
      </w:r>
      <w:r>
        <w:rPr>
          <w:sz w:val="20"/>
          <w:szCs w:val="20"/>
        </w:rPr>
        <w:t xml:space="preserve"> gerenciado (há medição de planejamento e performance, ainda sem padronização); </w:t>
      </w:r>
      <w:r>
        <w:rPr>
          <w:b/>
          <w:bCs/>
          <w:sz w:val="20"/>
          <w:szCs w:val="20"/>
        </w:rPr>
        <w:t xml:space="preserve">3</w:t>
      </w:r>
      <w:r>
        <w:rPr>
          <w:sz w:val="20"/>
          <w:szCs w:val="20"/>
        </w:rPr>
        <w:t xml:space="preserve"> definido (padrões amplos de governança orientam a organização); </w:t>
      </w:r>
      <w:r>
        <w:rPr>
          <w:b/>
          <w:bCs/>
          <w:sz w:val="20"/>
          <w:szCs w:val="20"/>
        </w:rPr>
        <w:t xml:space="preserve">4</w:t>
      </w:r>
      <w:r>
        <w:rPr>
          <w:sz w:val="20"/>
          <w:szCs w:val="20"/>
        </w:rPr>
        <w:t xml:space="preserve"> quantitativo (indicadores numéricos e melhorias quantitativas); </w:t>
      </w:r>
      <w:r>
        <w:rPr>
          <w:b/>
          <w:bCs/>
          <w:sz w:val="20"/>
          <w:szCs w:val="20"/>
        </w:rPr>
        <w:t xml:space="preserve">5</w:t>
      </w:r>
      <w:r>
        <w:rPr>
          <w:sz w:val="20"/>
          <w:szCs w:val="20"/>
        </w:rPr>
        <w:t xml:space="preserve"> otimização (foco em melhoria contínua).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Metodologia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Trata-se de pesquisa </w:t>
      </w:r>
      <w:r>
        <w:rPr>
          <w:b/>
          <w:bCs/>
          <w:sz w:val="20"/>
          <w:szCs w:val="20"/>
        </w:rPr>
        <w:t xml:space="preserve">aplicada, qualitativa, descritiva, documental e bibliográfica</w:t>
      </w:r>
      <w:r>
        <w:rPr>
          <w:sz w:val="20"/>
          <w:szCs w:val="20"/>
        </w:rPr>
        <w:t xml:space="preserve">, realizada em periódicos indexados, bancos de teses e dissertações e documentos institucionais do IFSC. A identificação dos requisitos exigiu aprofundamento na própria documentação do COBIT.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O modelo conceitual proposto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modelo parte do </w:t>
      </w:r>
      <w:r>
        <w:rPr>
          <w:b/>
          <w:bCs/>
          <w:sz w:val="20"/>
          <w:szCs w:val="20"/>
        </w:rPr>
        <w:t xml:space="preserve">cubo do COBIT</w:t>
      </w:r>
      <w:r>
        <w:rPr>
          <w:sz w:val="20"/>
          <w:szCs w:val="20"/>
        </w:rPr>
        <w:t xml:space="preserve"> e preserva seu caráter tridimensional e multicamada, com três faces:</w:t>
      </w:r>
    </w:p>
    <w:p>
      <w:pPr>
        <w:pStyle w:val="ListParagraph"/>
        <w:numPr>
          <w:ilvl w:val="0"/>
          <w:numId w:val="3"/>
        </w:numPr>
        <w:spacing w:after="40" w:line="230"/>
        <w:jc w:val="both"/>
      </w:pPr>
      <w:r>
        <w:rPr>
          <w:b/>
          <w:bCs/>
          <w:sz w:val="20"/>
          <w:szCs w:val="20"/>
        </w:rPr>
        <w:t xml:space="preserve">Processos da organização</w:t>
      </w:r>
      <w:r>
        <w:rPr>
          <w:sz w:val="20"/>
          <w:szCs w:val="20"/>
        </w:rPr>
        <w:t xml:space="preserve"> — os domínios </w:t>
      </w:r>
      <w:r>
        <w:rPr>
          <w:b/>
          <w:bCs/>
          <w:sz w:val="20"/>
          <w:szCs w:val="20"/>
        </w:rPr>
        <w:t xml:space="preserve">Ensino, Pesquisa, Extensão e Gestão</w:t>
      </w:r>
      <w:r>
        <w:rPr>
          <w:sz w:val="20"/>
          <w:szCs w:val="20"/>
        </w:rPr>
        <w:t xml:space="preserve">, com seus processos e atividades internos e externos. Exige o mapeamento de todos os processos por domínio.</w:t>
      </w:r>
    </w:p>
    <w:p>
      <w:pPr>
        <w:pStyle w:val="ListParagraph"/>
        <w:numPr>
          <w:ilvl w:val="0"/>
          <w:numId w:val="3"/>
        </w:numPr>
        <w:spacing w:after="40" w:line="230"/>
        <w:jc w:val="both"/>
      </w:pPr>
      <w:r>
        <w:rPr>
          <w:b/>
          <w:bCs/>
          <w:sz w:val="20"/>
          <w:szCs w:val="20"/>
        </w:rPr>
        <w:t xml:space="preserve">Recursos e infraestrutura</w:t>
      </w:r>
      <w:r>
        <w:rPr>
          <w:sz w:val="20"/>
          <w:szCs w:val="20"/>
        </w:rPr>
        <w:t xml:space="preserve"> — recursos humanos, infraestrutura física, tecnológica e informacional, laboratórios, bibliotecas, serviços de apoio e terceirizados, detalhados a partir do Diagnóstico da Infraestrutura.</w:t>
      </w:r>
    </w:p>
    <w:p>
      <w:pPr>
        <w:pStyle w:val="ListParagraph"/>
        <w:numPr>
          <w:ilvl w:val="0"/>
          <w:numId w:val="3"/>
        </w:numPr>
        <w:spacing w:after="40" w:line="230"/>
        <w:jc w:val="both"/>
      </w:pPr>
      <w:r>
        <w:rPr>
          <w:b/>
          <w:bCs/>
          <w:sz w:val="20"/>
          <w:szCs w:val="20"/>
        </w:rPr>
        <w:t xml:space="preserve">Requisitos do negócio</w:t>
      </w:r>
      <w:r>
        <w:rPr>
          <w:sz w:val="20"/>
          <w:szCs w:val="20"/>
        </w:rPr>
        <w:t xml:space="preserve"> — mantidos integralmente do COBIT: efetividade, eficiência, confidencialidade, integridade, disponibilidade, </w:t>
      </w:r>
      <w:r>
        <w:rPr>
          <w:b/>
          <w:bCs/>
          <w:sz w:val="20"/>
          <w:szCs w:val="20"/>
        </w:rPr>
        <w:t xml:space="preserve">conformidade</w:t>
      </w:r>
      <w:r>
        <w:rPr>
          <w:sz w:val="20"/>
          <w:szCs w:val="20"/>
        </w:rPr>
        <w:t xml:space="preserve"> e confiabilidade. É na conformidade que se abriga o compliance.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Combinados, os fatores de projeto, os grupos de interesse e partícipes e os documentos institucionais integram o modelo e o tornam capaz de gerar um </w:t>
      </w:r>
      <w:r>
        <w:rPr>
          <w:b/>
          <w:bCs/>
          <w:sz w:val="20"/>
          <w:szCs w:val="20"/>
        </w:rPr>
        <w:t xml:space="preserve">coeficiente de governança e compliance</w:t>
      </w:r>
      <w:r>
        <w:rPr>
          <w:sz w:val="20"/>
          <w:szCs w:val="20"/>
        </w:rPr>
        <w:t xml:space="preserve">. Identificados os elementos, o modelo em si pode então ser discutido e construído por cada Instituto Federal.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Estratégias de implementação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partir do COBIT 2019, os autores propõem </w:t>
      </w:r>
      <w:r>
        <w:rPr>
          <w:b/>
          <w:bCs/>
          <w:sz w:val="20"/>
          <w:szCs w:val="20"/>
        </w:rPr>
        <w:t xml:space="preserve">quatro passos</w:t>
      </w:r>
      <w:r>
        <w:rPr>
          <w:sz w:val="20"/>
          <w:szCs w:val="20"/>
        </w:rPr>
        <w:t xml:space="preserve"> para implementar o modelo nos Institutos Federais. Destacam que o desenho do sistema de governança e compliance só se conclui na fase de planejamento da implementação — é nesse momento que o modelo </w:t>
      </w:r>
      <w:r>
        <w:rPr>
          <w:b/>
          <w:bCs/>
          <w:sz w:val="20"/>
          <w:szCs w:val="20"/>
        </w:rPr>
        <w:t xml:space="preserve">deixa de ser conceitual</w:t>
      </w:r>
      <w:r>
        <w:rPr>
          <w:sz w:val="20"/>
          <w:szCs w:val="20"/>
        </w:rPr>
        <w:t xml:space="preserve">. Recomendam ainda uma </w:t>
      </w:r>
      <w:r>
        <w:rPr>
          <w:b/>
          <w:bCs/>
          <w:sz w:val="20"/>
          <w:szCs w:val="20"/>
        </w:rPr>
        <w:t xml:space="preserve">avaliação piloto</w:t>
      </w:r>
      <w:r>
        <w:rPr>
          <w:sz w:val="20"/>
          <w:szCs w:val="20"/>
        </w:rPr>
        <w:t xml:space="preserve"> antes da implantação em toda a estrutura e a criação de uma tabela de avaliação com </w:t>
      </w:r>
      <w:r>
        <w:rPr>
          <w:b/>
          <w:bCs/>
          <w:sz w:val="20"/>
          <w:szCs w:val="20"/>
        </w:rPr>
        <w:t xml:space="preserve">10 a 15 itens</w:t>
      </w:r>
      <w:r>
        <w:rPr>
          <w:sz w:val="20"/>
          <w:szCs w:val="20"/>
        </w:rPr>
        <w:t xml:space="preserve"> sumarizados.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Considerações finais e trabalhos futuros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Os autores concluem que o objetivo foi atingido: os elementos e requisitos foram identificados e resumidos no cubo do modelo. Afirmam que os conceitos e características do COBIT </w:t>
      </w:r>
      <w:r>
        <w:rPr>
          <w:b/>
          <w:bCs/>
          <w:sz w:val="20"/>
          <w:szCs w:val="20"/>
        </w:rPr>
        <w:t xml:space="preserve">são aderentes às organizações públicas e podem ser utilizados com adaptações</w:t>
      </w:r>
      <w:r>
        <w:rPr>
          <w:sz w:val="20"/>
          <w:szCs w:val="20"/>
        </w:rPr>
        <w:t xml:space="preserve">, configurando um exemplo de aplicação de inovação tecnológica e de técnicas de gestão no setor público. Sobre o compliance público, observam que, por ser mais recente, ele aparece no modelo como uma camada de uma das faces, mas se relaciona com todas as demais dimensões. Registram uma condição </w:t>
      </w:r>
      <w:r>
        <w:rPr>
          <w:i/>
          <w:iCs/>
          <w:sz w:val="20"/>
          <w:szCs w:val="20"/>
        </w:rPr>
        <w:t xml:space="preserve">sine qua non</w:t>
      </w:r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 xml:space="preserve">os documentos listados no Quadro 2 que não existirem na instituição precisam ser construídos antes da implementação</w:t>
      </w:r>
      <w:r>
        <w:rPr>
          <w:sz w:val="20"/>
          <w:szCs w:val="20"/>
        </w:rPr>
        <w:t xml:space="preserve">. Como trabalhos futuros, sugerem desenvolver e testar o modelo em um campus, ajustá-lo e submetê-lo às instâncias; pesquisar governança e compliance públicos sob a ótica da inovação tecnológica; e realizar uma pesquisa bibliométrica sobre melhores práticas em governança pública educacional.</w:t>
      </w:r>
    </w:p>
    <w:p>
      <w:pPr>
        <w:pStyle w:val="Heading1"/>
        <w:pBdr>
          <w:bottom w:val="single" w:color="808080" w:sz="6" w:space="4"/>
        </w:pBdr>
        <w:spacing w:after="110" w:before="200"/>
      </w:pPr>
      <w:r>
        <w:rPr>
          <w:b/>
          <w:bCs/>
          <w:sz w:val="24"/>
          <w:szCs w:val="24"/>
        </w:rPr>
        <w:t xml:space="preserve">Questão 2 — Dois casos de implantação do COBIT 2019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Caso 1 — Empresa de mineração (Mubarak e Fianty, 2023)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a) Segmento de negócio.</w:t>
      </w:r>
      <w:r>
        <w:rPr>
          <w:sz w:val="20"/>
          <w:szCs w:val="20"/>
        </w:rPr>
        <w:t xml:space="preserve"> Empresa do setor de </w:t>
      </w:r>
      <w:r>
        <w:rPr>
          <w:b/>
          <w:bCs/>
          <w:sz w:val="20"/>
          <w:szCs w:val="20"/>
        </w:rPr>
        <w:t xml:space="preserve">mineração de minerais</w:t>
      </w:r>
      <w:r>
        <w:rPr>
          <w:sz w:val="20"/>
          <w:szCs w:val="20"/>
        </w:rPr>
        <w:t xml:space="preserve">, sediada na Indonésia, cuja operação depende de dados operacionais para o fluxo de trabalho diário.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b) Governança de TI na empresa.</w:t>
      </w:r>
      <w:r>
        <w:rPr>
          <w:sz w:val="20"/>
          <w:szCs w:val="20"/>
        </w:rPr>
        <w:t xml:space="preserve"> A TI é tratada como área de apoio à operação, e a governança se concentra em três frentes priorizadas pelo estudo: </w:t>
      </w:r>
      <w:r>
        <w:rPr>
          <w:b/>
          <w:bCs/>
          <w:sz w:val="20"/>
          <w:szCs w:val="20"/>
        </w:rPr>
        <w:t xml:space="preserve">otimização de riscos</w:t>
      </w:r>
      <w:r>
        <w:rPr>
          <w:sz w:val="20"/>
          <w:szCs w:val="20"/>
        </w:rPr>
        <w:t xml:space="preserve"> (EDM03 – </w:t>
      </w:r>
      <w:r>
        <w:rPr>
          <w:i/>
          <w:iCs/>
          <w:sz w:val="20"/>
          <w:szCs w:val="20"/>
        </w:rPr>
        <w:t xml:space="preserve">Ensured Risk Optimization</w:t>
      </w:r>
      <w:r>
        <w:rPr>
          <w:sz w:val="20"/>
          <w:szCs w:val="20"/>
        </w:rPr>
        <w:t xml:space="preserve">), </w:t>
      </w:r>
      <w:r>
        <w:rPr>
          <w:b/>
          <w:bCs/>
          <w:sz w:val="20"/>
          <w:szCs w:val="20"/>
        </w:rPr>
        <w:t xml:space="preserve">segurança da informação</w:t>
      </w:r>
      <w:r>
        <w:rPr>
          <w:sz w:val="20"/>
          <w:szCs w:val="20"/>
        </w:rPr>
        <w:t xml:space="preserve"> (APO13 – </w:t>
      </w:r>
      <w:r>
        <w:rPr>
          <w:i/>
          <w:iCs/>
          <w:sz w:val="20"/>
          <w:szCs w:val="20"/>
        </w:rPr>
        <w:t xml:space="preserve">Managed Security</w:t>
      </w:r>
      <w:r>
        <w:rPr>
          <w:sz w:val="20"/>
          <w:szCs w:val="20"/>
        </w:rPr>
        <w:t xml:space="preserve">) e </w:t>
      </w:r>
      <w:r>
        <w:rPr>
          <w:b/>
          <w:bCs/>
          <w:sz w:val="20"/>
          <w:szCs w:val="20"/>
        </w:rPr>
        <w:t xml:space="preserve">conformidade com requisitos externos</w:t>
      </w:r>
      <w:r>
        <w:rPr>
          <w:sz w:val="20"/>
          <w:szCs w:val="20"/>
        </w:rPr>
        <w:t xml:space="preserve"> (MEA03 – </w:t>
      </w:r>
      <w:r>
        <w:rPr>
          <w:i/>
          <w:iCs/>
          <w:sz w:val="20"/>
          <w:szCs w:val="20"/>
        </w:rPr>
        <w:t xml:space="preserve">Managed Compliance with External Requirements</w:t>
      </w:r>
      <w:r>
        <w:rPr>
          <w:sz w:val="20"/>
          <w:szCs w:val="20"/>
        </w:rPr>
        <w:t xml:space="preserve">).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c) Situação anterior.</w:t>
      </w:r>
      <w:r>
        <w:rPr>
          <w:sz w:val="20"/>
          <w:szCs w:val="20"/>
        </w:rPr>
        <w:t xml:space="preserve"> O artigo parte de um problema concreto: </w:t>
      </w:r>
      <w:r>
        <w:rPr>
          <w:b/>
          <w:bCs/>
          <w:sz w:val="20"/>
          <w:szCs w:val="20"/>
        </w:rPr>
        <w:t xml:space="preserve">perda de dados operacionais</w:t>
      </w:r>
      <w:r>
        <w:rPr>
          <w:sz w:val="20"/>
          <w:szCs w:val="20"/>
        </w:rPr>
        <w:t xml:space="preserve">, que afetava diretamente o fluxo de trabalho e interrompia as atividades da empresa, somada a dificuldades de integração da TI aos processos de negócio. Não havia medição formal da capacidade dos processos de TI.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d) Como foi a implantação.</w:t>
      </w:r>
      <w:r>
        <w:rPr>
          <w:sz w:val="20"/>
          <w:szCs w:val="20"/>
        </w:rPr>
        <w:t xml:space="preserve"> Os autores aplicaram o COBIT 2019 para </w:t>
      </w:r>
      <w:r>
        <w:rPr>
          <w:b/>
          <w:bCs/>
          <w:sz w:val="20"/>
          <w:szCs w:val="20"/>
        </w:rPr>
        <w:t xml:space="preserve">desenhar o sistema de governança e medir a capacidade</w:t>
      </w:r>
      <w:r>
        <w:rPr>
          <w:sz w:val="20"/>
          <w:szCs w:val="20"/>
        </w:rPr>
        <w:t xml:space="preserve"> dos processos priorizados, usando os fatores de projeto do framework para selecionar os objetivos relevantes e avaliando cada processo segundo a escala de capacidade do COBIT.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e) Benefícios obtidos.</w:t>
      </w:r>
      <w:r>
        <w:rPr>
          <w:sz w:val="20"/>
          <w:szCs w:val="20"/>
        </w:rPr>
        <w:t xml:space="preserve"> A avaliação produziu um diagnóstico numérico: </w:t>
      </w:r>
      <w:r>
        <w:rPr>
          <w:b/>
          <w:bCs/>
          <w:sz w:val="20"/>
          <w:szCs w:val="20"/>
        </w:rPr>
        <w:t xml:space="preserve">EDM03 em nível 3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APO13 em nível 2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MEA03 em nível 3</w:t>
      </w:r>
      <w:r>
        <w:rPr>
          <w:sz w:val="20"/>
          <w:szCs w:val="20"/>
        </w:rPr>
        <w:t xml:space="preserve">, com meta definida de </w:t>
      </w:r>
      <w:r>
        <w:rPr>
          <w:b/>
          <w:bCs/>
          <w:sz w:val="20"/>
          <w:szCs w:val="20"/>
        </w:rPr>
        <w:t xml:space="preserve">alcançar o nível 4</w:t>
      </w:r>
      <w:r>
        <w:rPr>
          <w:sz w:val="20"/>
          <w:szCs w:val="20"/>
        </w:rPr>
        <w:t xml:space="preserve"> nos três processos. O ganho imediato foi tornar visível e mensurável a lacuna de capacidade — sobretudo em segurança da informação, o processo mais frágil — e orientar as ações de melhoria para a gestão de riscos de segurança e a conformidade com políticas e regulamentos aplicáveis.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Caso 2 — Terminal portuário PT. Pelindo TPK Bitung (Tangka e Lompoliu, 2023)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a) Segmento de negócio.</w:t>
      </w:r>
      <w:r>
        <w:rPr>
          <w:sz w:val="20"/>
          <w:szCs w:val="20"/>
        </w:rPr>
        <w:t xml:space="preserve"> Empresa de </w:t>
      </w:r>
      <w:r>
        <w:rPr>
          <w:b/>
          <w:bCs/>
          <w:sz w:val="20"/>
          <w:szCs w:val="20"/>
        </w:rPr>
        <w:t xml:space="preserve">logística e armazenagem</w:t>
      </w:r>
      <w:r>
        <w:rPr>
          <w:sz w:val="20"/>
          <w:szCs w:val="20"/>
        </w:rPr>
        <w:t xml:space="preserve">: o terminal de contêineres do porto de Bitung, na Indonésia, pertencente ao grupo portuário estatal Pelindo.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b) Governança de TI na empresa.</w:t>
      </w:r>
      <w:r>
        <w:rPr>
          <w:sz w:val="20"/>
          <w:szCs w:val="20"/>
        </w:rPr>
        <w:t xml:space="preserve"> Segundo as entrevistas relatadas no artigo, a empresa orienta-se por </w:t>
      </w:r>
      <w:r>
        <w:rPr>
          <w:b/>
          <w:bCs/>
          <w:sz w:val="20"/>
          <w:szCs w:val="20"/>
        </w:rPr>
        <w:t xml:space="preserve">crescimento, inovação e um papel estratégico para a TI</w:t>
      </w:r>
      <w:r>
        <w:rPr>
          <w:sz w:val="20"/>
          <w:szCs w:val="20"/>
        </w:rPr>
        <w:t xml:space="preserve">, mas convive com dificuldades de integração entre a TI e as áreas operacionais. O objetivo de governança priorizado foi </w:t>
      </w:r>
      <w:r>
        <w:rPr>
          <w:b/>
          <w:bCs/>
          <w:sz w:val="20"/>
          <w:szCs w:val="20"/>
        </w:rPr>
        <w:t xml:space="preserve">DSS05 – Managed Security Services</w:t>
      </w:r>
      <w:r>
        <w:rPr>
          <w:sz w:val="20"/>
          <w:szCs w:val="20"/>
        </w:rPr>
        <w:t xml:space="preserve"> (gestão de serviços de segurança).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c) Situação anterior.</w:t>
      </w:r>
      <w:r>
        <w:rPr>
          <w:sz w:val="20"/>
          <w:szCs w:val="20"/>
        </w:rPr>
        <w:t xml:space="preserve"> A empresa enfrentava desafios na gestão da TI e buscava </w:t>
      </w:r>
      <w:r>
        <w:rPr>
          <w:b/>
          <w:bCs/>
          <w:sz w:val="20"/>
          <w:szCs w:val="20"/>
        </w:rPr>
        <w:t xml:space="preserve">elevar a eficiência operacional, reduzir riscos de segurança e assegurar a conformidade regulatória</w:t>
      </w:r>
      <w:r>
        <w:rPr>
          <w:sz w:val="20"/>
          <w:szCs w:val="20"/>
        </w:rPr>
        <w:t xml:space="preserve"> — motivação declarada para adotar o framework.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d) Como foi a implantação.</w:t>
      </w:r>
      <w:r>
        <w:rPr>
          <w:sz w:val="20"/>
          <w:szCs w:val="20"/>
        </w:rPr>
        <w:t xml:space="preserve"> O estudo seguiu uma abordagem estruturada com o </w:t>
      </w:r>
      <w:r>
        <w:rPr>
          <w:b/>
          <w:bCs/>
          <w:sz w:val="20"/>
          <w:szCs w:val="20"/>
        </w:rPr>
        <w:t xml:space="preserve">COBIT 2019 Design Toolkit</w:t>
      </w:r>
      <w:r>
        <w:rPr>
          <w:sz w:val="20"/>
          <w:szCs w:val="20"/>
        </w:rPr>
        <w:t xml:space="preserve">, combinando revisão de literatura, entrevistas com responsáveis e avaliação sistemática da governança de TI, de modo a identificar os objetivos de governança prioritários e medir sua capacidade.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e) Benefícios obtidos.</w:t>
      </w:r>
      <w:r>
        <w:rPr>
          <w:sz w:val="20"/>
          <w:szCs w:val="20"/>
        </w:rPr>
        <w:t xml:space="preserve"> O objetivo priorizado, </w:t>
      </w:r>
      <w:r>
        <w:rPr>
          <w:b/>
          <w:bCs/>
          <w:sz w:val="20"/>
          <w:szCs w:val="20"/>
        </w:rPr>
        <w:t xml:space="preserve">DSS05, atingiu nível de capacidade 3</w:t>
      </w:r>
      <w:r>
        <w:rPr>
          <w:sz w:val="20"/>
          <w:szCs w:val="20"/>
        </w:rPr>
        <w:t xml:space="preserve">, resultado considerado substancialmente bem-sucedido pelos autores. Ainda assim, o estudo identificou </w:t>
      </w:r>
      <w:r>
        <w:rPr>
          <w:b/>
          <w:bCs/>
          <w:sz w:val="20"/>
          <w:szCs w:val="20"/>
        </w:rPr>
        <w:t xml:space="preserve">lacunas nos aspectos de segurança</w:t>
      </w:r>
      <w:r>
        <w:rPr>
          <w:sz w:val="20"/>
          <w:szCs w:val="20"/>
        </w:rPr>
        <w:t xml:space="preserve"> que exigem revisão imediata das políticas, e encerra com recomendações para sustentar e aprimorar a gestão de segurança.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f) Referências dos artigos pesquisados</w:t>
      </w:r>
    </w:p>
    <w:p>
      <w:pPr>
        <w:spacing w:after="80" w:line="230"/>
        <w:ind w:left="340" w:hanging="340"/>
      </w:pPr>
      <w:r>
        <w:rPr>
          <w:sz w:val="19"/>
          <w:szCs w:val="19"/>
        </w:rPr>
        <w:t xml:space="preserve">MUBARAK, Ray Farhan; FIANTY, Melissa Indah. </w:t>
      </w:r>
      <w:r>
        <w:rPr>
          <w:b/>
          <w:bCs/>
          <w:sz w:val="19"/>
          <w:szCs w:val="19"/>
        </w:rPr>
        <w:t xml:space="preserve">Leveraging COBIT 2019 to Implement IT Governance in Mineral Mining Company</w:t>
      </w:r>
      <w:r>
        <w:rPr>
          <w:sz w:val="19"/>
          <w:szCs w:val="19"/>
        </w:rPr>
        <w:t xml:space="preserve">. Journal of Information Systems and Informatics, v. 5, n. 3, p. 1058–1071, 2023.</w:t>
      </w:r>
    </w:p>
    <w:p>
      <w:pPr>
        <w:spacing w:after="80" w:line="230"/>
        <w:ind w:left="340" w:hanging="340"/>
      </w:pPr>
      <w:r>
        <w:rPr>
          <w:sz w:val="19"/>
          <w:szCs w:val="19"/>
        </w:rPr>
        <w:t xml:space="preserve">TANGKA, G. M. W.; LOMPOLIU, E. </w:t>
      </w:r>
      <w:r>
        <w:rPr>
          <w:b/>
          <w:bCs/>
          <w:sz w:val="19"/>
          <w:szCs w:val="19"/>
        </w:rPr>
        <w:t xml:space="preserve">Information Technology Governance Using the COBIT 2019 Framework at PT. Pelindo TPK Bitung</w:t>
      </w:r>
      <w:r>
        <w:rPr>
          <w:sz w:val="19"/>
          <w:szCs w:val="19"/>
        </w:rPr>
        <w:t xml:space="preserve">. CogITo Smart Journal, v. 9, n. 2, 2023.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03 — Implantação de COBIT 2019 em Empresas</dc:title>
  <dc:creator>Douglas</dc:creator>
  <cp:lastModifiedBy>Un-named</cp:lastModifiedBy>
  <cp:revision>1</cp:revision>
  <dcterms:created xsi:type="dcterms:W3CDTF">2026-09-24T13:48:54.237Z</dcterms:created>
  <dcterms:modified xsi:type="dcterms:W3CDTF">2026-09-24T13:48:54.237Z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