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8"/>
          <w:szCs w:val="28"/>
        </w:rPr>
        <w:t xml:space="preserve">Lista 05 — ISO/IEC 38500 em Organizações Públicas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TADS · Governança e Conformidade Tecnológica (JCRGCTC) · Prof. Lineu Mialaret · Douglas · 30/09/2026</w:t>
      </w:r>
    </w:p>
    <w:p>
      <w:pPr>
        <w:pStyle w:val="Heading1"/>
        <w:pBdr>
          <w:bottom w:val="single" w:color="808080" w:sz="6" w:space="4"/>
        </w:pBdr>
        <w:spacing w:after="110" w:before="200"/>
      </w:pPr>
      <w:r>
        <w:rPr>
          <w:b/>
          <w:bCs/>
          <w:sz w:val="24"/>
          <w:szCs w:val="24"/>
        </w:rPr>
        <w:t xml:space="preserve">Síntese — o modelo de governança de TI da ISO/IEC 38500 e da TS 38501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A família de normas e o problema que ela resolve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governança de TI nasceu da constatação de que decisões sobre tecnologia deixaram de ser assunto técnico e passaram a comprometer a estratégia, o orçamento e a reputação da organização. A resposta normativa veio da </w:t>
      </w:r>
      <w:r>
        <w:rPr>
          <w:b/>
          <w:bCs/>
          <w:sz w:val="20"/>
          <w:szCs w:val="20"/>
        </w:rPr>
        <w:t xml:space="preserve">família ISO/IEC 385xx</w:t>
      </w:r>
      <w:r>
        <w:rPr>
          <w:sz w:val="20"/>
          <w:szCs w:val="20"/>
        </w:rPr>
        <w:t xml:space="preserve">, cuja origem é a norma australiana </w:t>
      </w:r>
      <w:r>
        <w:rPr>
          <w:b/>
          <w:bCs/>
          <w:sz w:val="20"/>
          <w:szCs w:val="20"/>
        </w:rPr>
        <w:t xml:space="preserve">AS 8015 (2005)</w:t>
      </w:r>
      <w:r>
        <w:rPr>
          <w:sz w:val="20"/>
          <w:szCs w:val="20"/>
        </w:rPr>
        <w:t xml:space="preserve">, convertida em </w:t>
      </w:r>
      <w:r>
        <w:rPr>
          <w:b/>
          <w:bCs/>
          <w:sz w:val="20"/>
          <w:szCs w:val="20"/>
        </w:rPr>
        <w:t xml:space="preserve">ISO/IEC 38500 em 2008</w:t>
      </w:r>
      <w:r>
        <w:rPr>
          <w:sz w:val="20"/>
          <w:szCs w:val="20"/>
        </w:rPr>
        <w:t xml:space="preserve"> e revisada em </w:t>
      </w:r>
      <w:r>
        <w:rPr>
          <w:b/>
          <w:bCs/>
          <w:sz w:val="20"/>
          <w:szCs w:val="20"/>
        </w:rPr>
        <w:t xml:space="preserve">2015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 xml:space="preserve">2024</w:t>
      </w:r>
      <w:r>
        <w:rPr>
          <w:sz w:val="20"/>
          <w:szCs w:val="20"/>
        </w:rPr>
        <w:t xml:space="preserve"> — esta última alinhada à ISO 37000, de governança de organizações.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Dentro dessa família, cada documento cumpre um papel distinto: a </w:t>
      </w:r>
      <w:r>
        <w:rPr>
          <w:b/>
          <w:bCs/>
          <w:sz w:val="20"/>
          <w:szCs w:val="20"/>
        </w:rPr>
        <w:t xml:space="preserve">ISO/IEC 38500</w:t>
      </w:r>
      <w:r>
        <w:rPr>
          <w:sz w:val="20"/>
          <w:szCs w:val="20"/>
        </w:rPr>
        <w:t xml:space="preserve"> estabelece os </w:t>
      </w:r>
      <w:r>
        <w:rPr>
          <w:b/>
          <w:bCs/>
          <w:sz w:val="20"/>
          <w:szCs w:val="20"/>
        </w:rPr>
        <w:t xml:space="preserve">princípios e o modelo</w:t>
      </w:r>
      <w:r>
        <w:rPr>
          <w:sz w:val="20"/>
          <w:szCs w:val="20"/>
        </w:rPr>
        <w:t xml:space="preserve"> de governança; a </w:t>
      </w:r>
      <w:r>
        <w:rPr>
          <w:b/>
          <w:bCs/>
          <w:sz w:val="20"/>
          <w:szCs w:val="20"/>
        </w:rPr>
        <w:t xml:space="preserve">ISO/IEC TR 38502</w:t>
      </w:r>
      <w:r>
        <w:rPr>
          <w:sz w:val="20"/>
          <w:szCs w:val="20"/>
        </w:rPr>
        <w:t xml:space="preserve"> descreve o </w:t>
      </w:r>
      <w:r>
        <w:rPr>
          <w:b/>
          <w:bCs/>
          <w:sz w:val="20"/>
          <w:szCs w:val="20"/>
        </w:rPr>
        <w:t xml:space="preserve">framework e o modelo conceitual</w:t>
      </w:r>
      <w:r>
        <w:rPr>
          <w:sz w:val="20"/>
          <w:szCs w:val="20"/>
        </w:rPr>
        <w:t xml:space="preserve">, detalhando as fronteiras entre governança e gestão; e a </w:t>
      </w:r>
      <w:r>
        <w:rPr>
          <w:b/>
          <w:bCs/>
          <w:sz w:val="20"/>
          <w:szCs w:val="20"/>
        </w:rPr>
        <w:t xml:space="preserve">ISO/IEC TS 38501</w:t>
      </w:r>
      <w:r>
        <w:rPr>
          <w:sz w:val="20"/>
          <w:szCs w:val="20"/>
        </w:rPr>
        <w:t xml:space="preserve"> é o </w:t>
      </w:r>
      <w:r>
        <w:rPr>
          <w:b/>
          <w:bCs/>
          <w:sz w:val="20"/>
          <w:szCs w:val="20"/>
        </w:rPr>
        <w:t xml:space="preserve">guia de implementação</w:t>
      </w:r>
      <w:r>
        <w:rPr>
          <w:sz w:val="20"/>
          <w:szCs w:val="20"/>
        </w:rPr>
        <w:t xml:space="preserve"> — responde ao “como fazer” que a 38500 deliberadamente não responde. Completam o conjunto a 38503 (avaliação), a 38505-1 (governança de dados) e a 38506 (investimentos habilitados por TI).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ISO/IEC 38500: princípios e modelo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38500 é dirigida ao </w:t>
      </w:r>
      <w:r>
        <w:rPr>
          <w:b/>
          <w:bCs/>
          <w:sz w:val="20"/>
          <w:szCs w:val="20"/>
        </w:rPr>
        <w:t xml:space="preserve">corpo dirigente</w:t>
      </w:r>
      <w:r>
        <w:rPr>
          <w:sz w:val="20"/>
          <w:szCs w:val="20"/>
        </w:rPr>
        <w:t xml:space="preserve"> da organização — conselhos, alta administração, dirigentes máximos — e não à área de TI. Sua premissa central é a </w:t>
      </w:r>
      <w:r>
        <w:rPr>
          <w:b/>
          <w:bCs/>
          <w:sz w:val="20"/>
          <w:szCs w:val="20"/>
        </w:rPr>
        <w:t xml:space="preserve">separação entre governar e gerir</w:t>
      </w:r>
      <w:r>
        <w:rPr>
          <w:sz w:val="20"/>
          <w:szCs w:val="20"/>
        </w:rPr>
        <w:t xml:space="preserve">: o corpo dirigente governa, os executivos gerem. A norma é explicitamente aplicável a </w:t>
      </w:r>
      <w:r>
        <w:rPr>
          <w:b/>
          <w:bCs/>
          <w:sz w:val="20"/>
          <w:szCs w:val="20"/>
        </w:rPr>
        <w:t xml:space="preserve">organizações de todos os portes e naturezas, incluindo órgãos públicos</w:t>
      </w:r>
      <w:r>
        <w:rPr>
          <w:sz w:val="20"/>
          <w:szCs w:val="20"/>
        </w:rPr>
        <w:t xml:space="preserve"> e entidades sem fins lucrativos.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 modelo de governança se expressa em três tarefas contínuas, conhecidas pela sigla </w:t>
      </w:r>
      <w:r>
        <w:rPr>
          <w:b/>
          <w:bCs/>
          <w:sz w:val="20"/>
          <w:szCs w:val="20"/>
        </w:rPr>
        <w:t xml:space="preserve">EDM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Avaliar (Evaluate)</w:t>
      </w:r>
      <w:r>
        <w:rPr>
          <w:sz w:val="20"/>
          <w:szCs w:val="20"/>
        </w:rPr>
        <w:t xml:space="preserve"> — examinar o uso atual e futuro da TI, incluindo estratégias, propostas e contratos de fornecimento, à luz das pressões internas e externas;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Dirigir (Direct)</w:t>
      </w:r>
      <w:r>
        <w:rPr>
          <w:sz w:val="20"/>
          <w:szCs w:val="20"/>
        </w:rPr>
        <w:t xml:space="preserve"> — atribuir responsabilidades e orientar a preparação e a execução de planos e políticas, assegurando os recursos necessários;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Monitorar (Monitor)</w:t>
      </w:r>
      <w:r>
        <w:rPr>
          <w:sz w:val="20"/>
          <w:szCs w:val="20"/>
        </w:rPr>
        <w:t xml:space="preserve"> — acompanhar, por sistemas de medição, o desempenho e a conformidade com as políticas e com a legislação.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Na edição de 2024, o ciclo é precedido pelo </w:t>
      </w:r>
      <w:r>
        <w:rPr>
          <w:b/>
          <w:bCs/>
          <w:sz w:val="20"/>
          <w:szCs w:val="20"/>
        </w:rPr>
        <w:t xml:space="preserve">engajamento das partes interessadas</w:t>
      </w:r>
      <w:r>
        <w:rPr>
          <w:sz w:val="20"/>
          <w:szCs w:val="20"/>
        </w:rPr>
        <w:t xml:space="preserve">, reconhecendo que governar TI exige ouvir quem é afetado por ela. Sustentam o modelo </w:t>
      </w:r>
      <w:r>
        <w:rPr>
          <w:b/>
          <w:bCs/>
          <w:sz w:val="20"/>
          <w:szCs w:val="20"/>
        </w:rPr>
        <w:t xml:space="preserve">seis princípios</w:t>
      </w:r>
      <w:r>
        <w:rPr>
          <w:sz w:val="20"/>
          <w:szCs w:val="20"/>
        </w:rPr>
        <w:t xml:space="preserve">, que descrevem comportamentos desejáveis e não processos: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Responsabilidade</w:t>
      </w:r>
      <w:r>
        <w:rPr>
          <w:sz w:val="20"/>
          <w:szCs w:val="20"/>
        </w:rPr>
        <w:t xml:space="preserve"> — papéis e responsabilidades claramente atribuídos e aceitos, com autoridade correspondente;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Estratégia</w:t>
      </w:r>
      <w:r>
        <w:rPr>
          <w:sz w:val="20"/>
          <w:szCs w:val="20"/>
        </w:rPr>
        <w:t xml:space="preserve"> — os planos de TI acompanham as necessidades presentes e futuras do negócio;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Aquisição</w:t>
      </w:r>
      <w:r>
        <w:rPr>
          <w:sz w:val="20"/>
          <w:szCs w:val="20"/>
        </w:rPr>
        <w:t xml:space="preserve"> — as aquisições de TI são feitas por razões válidas, com análise transparente e equilíbrio entre benefícios, riscos e custos;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Desempenho</w:t>
      </w:r>
      <w:r>
        <w:rPr>
          <w:sz w:val="20"/>
          <w:szCs w:val="20"/>
        </w:rPr>
        <w:t xml:space="preserve"> — a TI sustenta a organização com o nível de serviço e a qualidade exigidos;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Conformidade</w:t>
      </w:r>
      <w:r>
        <w:rPr>
          <w:sz w:val="20"/>
          <w:szCs w:val="20"/>
        </w:rPr>
        <w:t xml:space="preserve"> — a TI cumpre a legislação e as normas obrigatórias, com políticas claras e fiscalizadas;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Comportamento humano</w:t>
      </w:r>
      <w:r>
        <w:rPr>
          <w:sz w:val="20"/>
          <w:szCs w:val="20"/>
        </w:rPr>
        <w:t xml:space="preserve"> — as políticas e práticas respeitam as pessoas envolvidas nos processos.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ISO/IEC TS 38501: o guia de implementação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TS 38501 é uma </w:t>
      </w:r>
      <w:r>
        <w:rPr>
          <w:b/>
          <w:bCs/>
          <w:sz w:val="20"/>
          <w:szCs w:val="20"/>
        </w:rPr>
        <w:t xml:space="preserve">especificação técnica</w:t>
      </w:r>
      <w:r>
        <w:rPr>
          <w:sz w:val="20"/>
          <w:szCs w:val="20"/>
        </w:rPr>
        <w:t xml:space="preserve"> — um documento de orientação, não uma norma certificável. Sua função é identificar </w:t>
      </w:r>
      <w:r>
        <w:rPr>
          <w:b/>
          <w:bCs/>
          <w:sz w:val="20"/>
          <w:szCs w:val="20"/>
        </w:rPr>
        <w:t xml:space="preserve">as atividades-chave que a organização precisa executar</w:t>
      </w:r>
      <w:r>
        <w:rPr>
          <w:sz w:val="20"/>
          <w:szCs w:val="20"/>
        </w:rPr>
        <w:t xml:space="preserve"> para implantar a governança de TI conforme a 38500, e esclarecer os </w:t>
      </w:r>
      <w:r>
        <w:rPr>
          <w:b/>
          <w:bCs/>
          <w:sz w:val="20"/>
          <w:szCs w:val="20"/>
        </w:rPr>
        <w:t xml:space="preserve">papéis e responsabilidades das partes interessadas</w:t>
      </w:r>
      <w:r>
        <w:rPr>
          <w:sz w:val="20"/>
          <w:szCs w:val="20"/>
        </w:rPr>
        <w:t xml:space="preserve"> no desenho e no estabelecimento desses arranjos.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Três pontos estruturam sua orientação. Primeiro, a implantação deve seguir uma </w:t>
      </w:r>
      <w:r>
        <w:rPr>
          <w:b/>
          <w:bCs/>
          <w:sz w:val="20"/>
          <w:szCs w:val="20"/>
        </w:rPr>
        <w:t xml:space="preserve">abordagem cíclica</w:t>
      </w:r>
      <w:r>
        <w:rPr>
          <w:sz w:val="20"/>
          <w:szCs w:val="20"/>
        </w:rPr>
        <w:t xml:space="preserve">, apoiada no próprio modelo da 38500: revisões contínuas verificam se os resultados pretendidos foram alcançados e, quando não foram, a organização retorna ao início do ciclo. Segundo, dois grupos de partes interessadas são centrais desde o começo — o </w:t>
      </w:r>
      <w:r>
        <w:rPr>
          <w:b/>
          <w:bCs/>
          <w:sz w:val="20"/>
          <w:szCs w:val="20"/>
        </w:rPr>
        <w:t xml:space="preserve">corpo dirigente</w:t>
      </w:r>
      <w:r>
        <w:rPr>
          <w:sz w:val="20"/>
          <w:szCs w:val="20"/>
        </w:rPr>
        <w:t xml:space="preserve"> e os </w:t>
      </w:r>
      <w:r>
        <w:rPr>
          <w:b/>
          <w:bCs/>
          <w:sz w:val="20"/>
          <w:szCs w:val="20"/>
        </w:rPr>
        <w:t xml:space="preserve">gestores executivos</w:t>
      </w:r>
      <w:r>
        <w:rPr>
          <w:sz w:val="20"/>
          <w:szCs w:val="20"/>
        </w:rPr>
        <w:t xml:space="preserve"> —, e para as relações e fronteiras entre eles a especificação remete à TR 38502. Terceiro, a implantação começa por </w:t>
      </w:r>
      <w:r>
        <w:rPr>
          <w:b/>
          <w:bCs/>
          <w:sz w:val="20"/>
          <w:szCs w:val="20"/>
        </w:rPr>
        <w:t xml:space="preserve">conscientização</w:t>
      </w:r>
      <w:r>
        <w:rPr>
          <w:sz w:val="20"/>
          <w:szCs w:val="20"/>
        </w:rPr>
        <w:t xml:space="preserve">: sessões de briefing e oficinas que tratam, entre outros temas, de como o valor de negócio é efetivamente obtido a partir do uso da TI.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especificação é aplicável a organizações de todos os portes e tipos. Publicada em 2015, foi </w:t>
      </w:r>
      <w:r>
        <w:rPr>
          <w:b/>
          <w:bCs/>
          <w:sz w:val="20"/>
          <w:szCs w:val="20"/>
        </w:rPr>
        <w:t xml:space="preserve">revisada e confirmada em 2025</w:t>
      </w:r>
      <w:r>
        <w:rPr>
          <w:sz w:val="20"/>
          <w:szCs w:val="20"/>
        </w:rPr>
        <w:t xml:space="preserve">, permanecendo vigente.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Aplicação em organizações públicas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transposição para o setor público exige adaptações de contexto, não de princípio. A diferença mais relevante está no </w:t>
      </w:r>
      <w:r>
        <w:rPr>
          <w:b/>
          <w:bCs/>
          <w:sz w:val="20"/>
          <w:szCs w:val="20"/>
        </w:rPr>
        <w:t xml:space="preserve">direcionador</w:t>
      </w:r>
      <w:r>
        <w:rPr>
          <w:sz w:val="20"/>
          <w:szCs w:val="20"/>
        </w:rPr>
        <w:t xml:space="preserve">: enquanto na empresa privada a governança busca retorno econômico, no órgão público ela serve ao </w:t>
      </w:r>
      <w:r>
        <w:rPr>
          <w:b/>
          <w:bCs/>
          <w:sz w:val="20"/>
          <w:szCs w:val="20"/>
        </w:rPr>
        <w:t xml:space="preserve">cumprimento da missão institucional, ao interesse público e à conformidade legal</w:t>
      </w:r>
      <w:r>
        <w:rPr>
          <w:sz w:val="20"/>
          <w:szCs w:val="20"/>
        </w:rPr>
        <w:t xml:space="preserve">. Isso desloca o peso relativo dos princípios — </w:t>
      </w:r>
      <w:r>
        <w:rPr>
          <w:b/>
          <w:bCs/>
          <w:sz w:val="20"/>
          <w:szCs w:val="20"/>
        </w:rPr>
        <w:t xml:space="preserve">conformidade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 xml:space="preserve">responsabilidade</w:t>
      </w:r>
      <w:r>
        <w:rPr>
          <w:sz w:val="20"/>
          <w:szCs w:val="20"/>
        </w:rPr>
        <w:t xml:space="preserve"> ganham centralidade, porque o gestor público responde a controle externo e ao dever de prestar contas.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Outras especificidades moldam a aplicação: o </w:t>
      </w:r>
      <w:r>
        <w:rPr>
          <w:b/>
          <w:bCs/>
          <w:sz w:val="20"/>
          <w:szCs w:val="20"/>
        </w:rPr>
        <w:t xml:space="preserve">corpo dirigente</w:t>
      </w:r>
      <w:r>
        <w:rPr>
          <w:sz w:val="20"/>
          <w:szCs w:val="20"/>
        </w:rPr>
        <w:t xml:space="preserve"> não é um conselho de acionistas, mas conselhos superiores, colegiados e a alta administração, com mandatos que mudam periodicamente e ameaçam a continuidade das iniciativas; a </w:t>
      </w:r>
      <w:r>
        <w:rPr>
          <w:b/>
          <w:bCs/>
          <w:sz w:val="20"/>
          <w:szCs w:val="20"/>
        </w:rPr>
        <w:t xml:space="preserve">aquisição</w:t>
      </w:r>
      <w:r>
        <w:rPr>
          <w:sz w:val="20"/>
          <w:szCs w:val="20"/>
        </w:rPr>
        <w:t xml:space="preserve"> não é livre, mas vinculada à legislação de licitações e contratos; o </w:t>
      </w:r>
      <w:r>
        <w:rPr>
          <w:b/>
          <w:bCs/>
          <w:sz w:val="20"/>
          <w:szCs w:val="20"/>
        </w:rPr>
        <w:t xml:space="preserve">desempenho</w:t>
      </w:r>
      <w:r>
        <w:rPr>
          <w:sz w:val="20"/>
          <w:szCs w:val="20"/>
        </w:rPr>
        <w:t xml:space="preserve"> é medido por indicadores de serviço ao cidadão, e não por lucro; e as </w:t>
      </w:r>
      <w:r>
        <w:rPr>
          <w:b/>
          <w:bCs/>
          <w:sz w:val="20"/>
          <w:szCs w:val="20"/>
        </w:rPr>
        <w:t xml:space="preserve">restrições orçamentárias e a escassez de pessoal especializado</w:t>
      </w:r>
      <w:r>
        <w:rPr>
          <w:sz w:val="20"/>
          <w:szCs w:val="20"/>
        </w:rPr>
        <w:t xml:space="preserve"> limitam o ritmo de implantação.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Na prática brasileira, a 38500 raramente é adotada sozinha. Ela costuma fornecer a </w:t>
      </w:r>
      <w:r>
        <w:rPr>
          <w:b/>
          <w:bCs/>
          <w:sz w:val="20"/>
          <w:szCs w:val="20"/>
        </w:rPr>
        <w:t xml:space="preserve">camada de princípios</w:t>
      </w:r>
      <w:r>
        <w:rPr>
          <w:sz w:val="20"/>
          <w:szCs w:val="20"/>
        </w:rPr>
        <w:t xml:space="preserve"> — o “por que governar” —, enquanto o COBIT oferece os objetivos e processos (“o que governar”) e o ITIL as práticas operacionais (“como operar os serviços”). A essa combinação somam-se os referenciais do </w:t>
      </w:r>
      <w:r>
        <w:rPr>
          <w:b/>
          <w:bCs/>
          <w:sz w:val="20"/>
          <w:szCs w:val="20"/>
        </w:rPr>
        <w:t xml:space="preserve">TCU</w:t>
      </w:r>
      <w:r>
        <w:rPr>
          <w:sz w:val="20"/>
          <w:szCs w:val="20"/>
        </w:rPr>
        <w:t xml:space="preserve"> e as normativas do </w:t>
      </w:r>
      <w:r>
        <w:rPr>
          <w:b/>
          <w:bCs/>
          <w:sz w:val="20"/>
          <w:szCs w:val="20"/>
        </w:rPr>
        <w:t xml:space="preserve">SISP</w:t>
      </w:r>
      <w:r>
        <w:rPr>
          <w:sz w:val="20"/>
          <w:szCs w:val="20"/>
        </w:rPr>
        <w:t xml:space="preserve"> e da Estratégia Federal de Governo Digital, que dão o contorno legal obrigatório.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 benefício esperado é duplo: de um lado, decisões de TI rastreáveis, com responsáveis identificados e alinhadas ao planejamento institucional; de outro, a capacidade de demonstrar essa conformidade aos órgãos de controle — condição que, no setor público, é tão importante quanto o resultado em si.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05 — ISO/IEC 38500 em Organizações Públicas</dc:title>
  <dc:creator>Douglas</dc:creator>
  <cp:lastModifiedBy>Un-named</cp:lastModifiedBy>
  <cp:revision>1</cp:revision>
  <dcterms:created xsi:type="dcterms:W3CDTF">2026-10-08T02:25:27.445Z</dcterms:created>
  <dcterms:modified xsi:type="dcterms:W3CDTF">2026-10-08T02:25:27.445Z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