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28"/>
          <w:szCs w:val="28"/>
        </w:rPr>
        <w:t xml:space="preserve">Lista 02 — Governança de TI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TADS · Governança e Conformidade Tecnológica (JCRGCTC) · Prof. Lineu Mialaret · Douglas · 02/09/2026</w:t>
      </w:r>
    </w:p>
    <w:p>
      <w:pPr>
        <w:pStyle w:val="Heading1"/>
        <w:pBdr>
          <w:bottom w:val="single" w:color="808080" w:sz="6" w:space="4"/>
        </w:pBdr>
        <w:spacing w:after="110" w:before="200"/>
      </w:pPr>
      <w:r>
        <w:rPr>
          <w:b/>
          <w:bCs/>
          <w:sz w:val="24"/>
          <w:szCs w:val="24"/>
        </w:rPr>
        <w:t xml:space="preserve">Questão 1 — “IT Governance on One Page” (Weill &amp; Ross, MIT CISR, 2004)</w:t>
      </w:r>
    </w:p>
    <w:p>
      <w:pPr>
        <w:spacing w:after="50" w:before="100" w:line="230"/>
      </w:pPr>
      <w:r>
        <w:rPr>
          <w:b/>
          <w:bCs/>
          <w:sz w:val="20"/>
          <w:szCs w:val="20"/>
        </w:rPr>
        <w:t xml:space="preserve">a) O que é Governança de TI?</w:t>
      </w:r>
    </w:p>
    <w:p>
      <w:pPr>
        <w:spacing w:after="90" w:line="230"/>
        <w:jc w:val="both"/>
      </w:pPr>
      <w:r>
        <w:rPr>
          <w:sz w:val="20"/>
          <w:szCs w:val="20"/>
        </w:rPr>
        <w:t xml:space="preserve">É o arcabouço de </w:t>
      </w:r>
      <w:r>
        <w:rPr>
          <w:b/>
          <w:bCs/>
          <w:sz w:val="20"/>
          <w:szCs w:val="20"/>
        </w:rPr>
        <w:t xml:space="preserve">direitos de decisão e de responsabilização</w:t>
      </w:r>
      <w:r>
        <w:rPr>
          <w:sz w:val="20"/>
          <w:szCs w:val="20"/>
        </w:rPr>
        <w:t xml:space="preserve"> que incentiva comportamentos desejáveis no uso da TI: define </w:t>
      </w:r>
      <w:r>
        <w:rPr>
          <w:b/>
          <w:bCs/>
          <w:sz w:val="20"/>
          <w:szCs w:val="20"/>
        </w:rPr>
        <w:t xml:space="preserve">quem decide</w:t>
      </w:r>
      <w:r>
        <w:rPr>
          <w:sz w:val="20"/>
          <w:szCs w:val="20"/>
        </w:rPr>
        <w:t xml:space="preserve"> cada assunto de TI e </w:t>
      </w:r>
      <w:r>
        <w:rPr>
          <w:b/>
          <w:bCs/>
          <w:sz w:val="20"/>
          <w:szCs w:val="20"/>
        </w:rPr>
        <w:t xml:space="preserve">quem responde</w:t>
      </w:r>
      <w:r>
        <w:rPr>
          <w:sz w:val="20"/>
          <w:szCs w:val="20"/>
        </w:rPr>
        <w:t xml:space="preserve"> pelos resultados. Reflete os princípios da governança corporativa e precisa ser desenhada de propósito — “governança de TI eficaz não acontece por acidente”. Na pesquisa (cerca de 300 empresas em 23 países), as empresas com governança eficaz tiveram lucros cerca de </w:t>
      </w:r>
      <w:r>
        <w:rPr>
          <w:b/>
          <w:bCs/>
          <w:sz w:val="20"/>
          <w:szCs w:val="20"/>
        </w:rPr>
        <w:t xml:space="preserve">20% maiores</w:t>
      </w:r>
      <w:r>
        <w:rPr>
          <w:sz w:val="20"/>
          <w:szCs w:val="20"/>
        </w:rPr>
        <w:t xml:space="preserve"> que concorrentes de mesma estratégia.</w:t>
      </w:r>
    </w:p>
    <w:p>
      <w:pPr>
        <w:spacing w:after="50" w:before="100" w:line="230"/>
      </w:pPr>
      <w:r>
        <w:rPr>
          <w:b/>
          <w:bCs/>
          <w:sz w:val="20"/>
          <w:szCs w:val="20"/>
        </w:rPr>
        <w:t xml:space="preserve">b) Qual a diferença entre Governança de TI e gestão de TI?</w:t>
      </w:r>
    </w:p>
    <w:p>
      <w:pPr>
        <w:spacing w:after="90" w:line="230"/>
        <w:jc w:val="both"/>
      </w:pPr>
      <w:r>
        <w:rPr>
          <w:sz w:val="20"/>
          <w:szCs w:val="20"/>
        </w:rPr>
        <w:t xml:space="preserve">A governança responde “quem decide e quem presta contas”; a gestão responde “o que decidir e como executar”. A governança é o arcabouço desenhado pela alta administração e tende a ser </w:t>
      </w:r>
      <w:r>
        <w:rPr>
          <w:b/>
          <w:bCs/>
          <w:sz w:val="20"/>
          <w:szCs w:val="20"/>
        </w:rPr>
        <w:t xml:space="preserve">mais estável que a própria estrutura organizacional</w:t>
      </w:r>
      <w:r>
        <w:rPr>
          <w:sz w:val="20"/>
          <w:szCs w:val="20"/>
        </w:rPr>
        <w:t xml:space="preserve">; a gestão é a decisão e a execução diárias dentro desse arcabouço. Por isso o primeiro passo do desenho é determinar quem deve tomar cada decisão e por ela responder.</w:t>
      </w:r>
    </w:p>
    <w:p>
      <w:pPr>
        <w:spacing w:after="50" w:before="100" w:line="230"/>
      </w:pPr>
      <w:r>
        <w:rPr>
          <w:b/>
          <w:bCs/>
          <w:sz w:val="20"/>
          <w:szCs w:val="20"/>
        </w:rPr>
        <w:t xml:space="preserve">c) Por que a definição de responsabilidades é importante?</w:t>
      </w:r>
    </w:p>
    <w:p>
      <w:pPr>
        <w:spacing w:after="90" w:line="230"/>
        <w:jc w:val="both"/>
      </w:pPr>
      <w:r>
        <w:rPr>
          <w:sz w:val="20"/>
          <w:szCs w:val="20"/>
        </w:rPr>
        <w:t xml:space="preserve">Porque os resultados de TI são difíceis de medir: sem responsável nomeado, não há a quem cobrar. Sem responsabilidades formais, cada gestor resolve problemas isolados e as ações se contradizem — no caso relatado, um CIO criou </w:t>
      </w:r>
      <w:r>
        <w:rPr>
          <w:i/>
          <w:iCs/>
          <w:sz w:val="20"/>
          <w:szCs w:val="20"/>
        </w:rPr>
        <w:t xml:space="preserve">chargeback</w:t>
      </w:r>
      <w:r>
        <w:rPr>
          <w:sz w:val="20"/>
          <w:szCs w:val="20"/>
        </w:rPr>
        <w:t xml:space="preserve"> para cortar custos, as unidades passaram a contratar técnicos próprios, o gasto total </w:t>
      </w:r>
      <w:r>
        <w:rPr>
          <w:b/>
          <w:bCs/>
          <w:sz w:val="20"/>
          <w:szCs w:val="20"/>
        </w:rPr>
        <w:t xml:space="preserve">subiu</w:t>
      </w:r>
      <w:r>
        <w:rPr>
          <w:sz w:val="20"/>
          <w:szCs w:val="20"/>
        </w:rPr>
        <w:t xml:space="preserve"> e a integridade dos dados foi comprometida. Na UNICEF ocorreu o oposto: diretores de divisão responsabilizados pelos sistemas globais e o CIO pela infraestrutura, e a TI transformou a operação. Responsabilidade clara e transparência ainda reduzem o peso da política interna (caso UPS).</w:t>
      </w:r>
    </w:p>
    <w:p>
      <w:pPr>
        <w:spacing w:after="50" w:before="100" w:line="230"/>
      </w:pPr>
      <w:r>
        <w:rPr>
          <w:b/>
          <w:bCs/>
          <w:sz w:val="20"/>
          <w:szCs w:val="20"/>
        </w:rPr>
        <w:t xml:space="preserve">d) O que significa alinhamento entre TI e objetivos organizacionais?</w:t>
      </w:r>
    </w:p>
    <w:p>
      <w:pPr>
        <w:spacing w:after="90" w:line="230"/>
        <w:jc w:val="both"/>
      </w:pPr>
      <w:r>
        <w:rPr>
          <w:sz w:val="20"/>
          <w:szCs w:val="20"/>
        </w:rPr>
        <w:t xml:space="preserve">Significa que as decisões e os comportamentos de TI — inclusive os do dia a dia — apontam para as metas de desempenho da organização, com alguém responsabilizado por cada resultado. O desenho varia conforme o direcionador estratégico: quem busca </w:t>
      </w:r>
      <w:r>
        <w:rPr>
          <w:b/>
          <w:bCs/>
          <w:sz w:val="20"/>
          <w:szCs w:val="20"/>
        </w:rPr>
        <w:t xml:space="preserve">lucro</w:t>
      </w:r>
      <w:r>
        <w:rPr>
          <w:sz w:val="20"/>
          <w:szCs w:val="20"/>
        </w:rPr>
        <w:t xml:space="preserve"> tende à governança centralizada (monarquias, federal); quem busca </w:t>
      </w:r>
      <w:r>
        <w:rPr>
          <w:b/>
          <w:bCs/>
          <w:sz w:val="20"/>
          <w:szCs w:val="20"/>
        </w:rPr>
        <w:t xml:space="preserve">utilização de ativos</w:t>
      </w:r>
      <w:r>
        <w:rPr>
          <w:sz w:val="20"/>
          <w:szCs w:val="20"/>
        </w:rPr>
        <w:t xml:space="preserve">, à híbrida (federal, duopólios); quem busca </w:t>
      </w:r>
      <w:r>
        <w:rPr>
          <w:b/>
          <w:bCs/>
          <w:sz w:val="20"/>
          <w:szCs w:val="20"/>
        </w:rPr>
        <w:t xml:space="preserve">crescimento</w:t>
      </w:r>
      <w:r>
        <w:rPr>
          <w:sz w:val="20"/>
          <w:szCs w:val="20"/>
        </w:rPr>
        <w:t xml:space="preserve">, à descentralizada (feudal). O alinhamento se efetiva por processos: proposta de investimento, exceção à arquitetura, SLAs, </w:t>
      </w:r>
      <w:r>
        <w:rPr>
          <w:i/>
          <w:iCs/>
          <w:sz w:val="20"/>
          <w:szCs w:val="20"/>
        </w:rPr>
        <w:t xml:space="preserve">chargeback</w:t>
      </w:r>
      <w:r>
        <w:rPr>
          <w:sz w:val="20"/>
          <w:szCs w:val="20"/>
        </w:rPr>
        <w:t xml:space="preserve">, acompanhamento de projetos e do valor de negócio gerado pela TI. E é via de mão dupla: no ING DIRECT, as capacidades de TI influenciam a estratégia tanto quanto a estratégia influencia a TI.</w:t>
      </w:r>
    </w:p>
    <w:p>
      <w:pPr>
        <w:spacing w:after="50" w:before="100" w:line="230"/>
      </w:pPr>
      <w:r>
        <w:rPr>
          <w:b/>
          <w:bCs/>
          <w:sz w:val="20"/>
          <w:szCs w:val="20"/>
        </w:rPr>
        <w:t xml:space="preserve">e) Quais são as cinco categorias de decisões de TI apresentadas por Weill e Ross?</w:t>
      </w:r>
    </w:p>
    <w:p>
      <w:pPr>
        <w:pStyle w:val="ListParagraph"/>
        <w:numPr>
          <w:ilvl w:val="0"/>
          <w:numId w:val="2"/>
        </w:numPr>
        <w:spacing w:after="40" w:line="230"/>
        <w:jc w:val="both"/>
      </w:pPr>
      <w:r>
        <w:rPr>
          <w:b/>
          <w:bCs/>
          <w:sz w:val="20"/>
          <w:szCs w:val="20"/>
        </w:rPr>
        <w:t xml:space="preserve">Princípios de TI</w:t>
      </w:r>
      <w:r>
        <w:rPr>
          <w:sz w:val="20"/>
          <w:szCs w:val="20"/>
        </w:rPr>
        <w:t xml:space="preserve"> — papel estratégico da TI no negócio e como ela será financiada.</w:t>
      </w:r>
    </w:p>
    <w:p>
      <w:pPr>
        <w:pStyle w:val="ListParagraph"/>
        <w:numPr>
          <w:ilvl w:val="0"/>
          <w:numId w:val="2"/>
        </w:numPr>
        <w:spacing w:after="40" w:line="230"/>
        <w:jc w:val="both"/>
      </w:pPr>
      <w:r>
        <w:rPr>
          <w:b/>
          <w:bCs/>
          <w:sz w:val="20"/>
          <w:szCs w:val="20"/>
        </w:rPr>
        <w:t xml:space="preserve">Arquitetura de TI</w:t>
      </w:r>
      <w:r>
        <w:rPr>
          <w:sz w:val="20"/>
          <w:szCs w:val="20"/>
        </w:rPr>
        <w:t xml:space="preserve"> — conjunto integrado de escolhas técnicas, padronização e integração de dados.</w:t>
      </w:r>
    </w:p>
    <w:p>
      <w:pPr>
        <w:pStyle w:val="ListParagraph"/>
        <w:numPr>
          <w:ilvl w:val="0"/>
          <w:numId w:val="2"/>
        </w:numPr>
        <w:spacing w:after="40" w:line="230"/>
        <w:jc w:val="both"/>
      </w:pPr>
      <w:r>
        <w:rPr>
          <w:b/>
          <w:bCs/>
          <w:sz w:val="20"/>
          <w:szCs w:val="20"/>
        </w:rPr>
        <w:t xml:space="preserve">Infraestrutura de TI</w:t>
      </w:r>
      <w:r>
        <w:rPr>
          <w:sz w:val="20"/>
          <w:szCs w:val="20"/>
        </w:rPr>
        <w:t xml:space="preserve"> — serviços compartilhados coordenados centralmente, criados antes de se conhecerem as necessidades exatas de uso.</w:t>
      </w:r>
    </w:p>
    <w:p>
      <w:pPr>
        <w:pStyle w:val="ListParagraph"/>
        <w:numPr>
          <w:ilvl w:val="0"/>
          <w:numId w:val="2"/>
        </w:numPr>
        <w:spacing w:after="40" w:line="230"/>
        <w:jc w:val="both"/>
      </w:pPr>
      <w:r>
        <w:rPr>
          <w:b/>
          <w:bCs/>
          <w:sz w:val="20"/>
          <w:szCs w:val="20"/>
        </w:rPr>
        <w:t xml:space="preserve">Necessidades de aplicações de negócio</w:t>
      </w:r>
      <w:r>
        <w:rPr>
          <w:sz w:val="20"/>
          <w:szCs w:val="20"/>
        </w:rPr>
        <w:t xml:space="preserve"> — requisitos para aplicações compradas ou desenvolvidas, e quem é dono do resultado.</w:t>
      </w:r>
    </w:p>
    <w:p>
      <w:pPr>
        <w:pStyle w:val="ListParagraph"/>
        <w:numPr>
          <w:ilvl w:val="0"/>
          <w:numId w:val="2"/>
        </w:numPr>
        <w:spacing w:after="40" w:line="230"/>
        <w:jc w:val="both"/>
      </w:pPr>
      <w:r>
        <w:rPr>
          <w:b/>
          <w:bCs/>
          <w:sz w:val="20"/>
          <w:szCs w:val="20"/>
        </w:rPr>
        <w:t xml:space="preserve">Priorização e investimento</w:t>
      </w:r>
      <w:r>
        <w:rPr>
          <w:sz w:val="20"/>
          <w:szCs w:val="20"/>
        </w:rPr>
        <w:t xml:space="preserve"> — quanto e onde investir, com aprovação e justificativa de projetos.</w:t>
      </w:r>
    </w:p>
    <w:p>
      <w:pPr>
        <w:spacing w:after="90" w:line="230"/>
        <w:jc w:val="both"/>
      </w:pPr>
      <w:r>
        <w:rPr>
          <w:sz w:val="20"/>
          <w:szCs w:val="20"/>
        </w:rPr>
        <w:t xml:space="preserve">Cada decisão é tomada por um dos </w:t>
      </w:r>
      <w:r>
        <w:rPr>
          <w:b/>
          <w:bCs/>
          <w:sz w:val="20"/>
          <w:szCs w:val="20"/>
        </w:rPr>
        <w:t xml:space="preserve">seis arquétipos</w:t>
      </w:r>
      <w:r>
        <w:rPr>
          <w:sz w:val="20"/>
          <w:szCs w:val="20"/>
        </w:rPr>
        <w:t xml:space="preserve"> — monarquia de negócio, monarquia de TI, federal, duopólio de TI, feudal e anarquia —, formando a matriz 5x6 que é a “governança em uma página”.</w:t>
      </w:r>
    </w:p>
    <w:p>
      <w:pPr>
        <w:spacing w:after="50" w:before="100" w:line="230"/>
      </w:pPr>
      <w:r>
        <w:rPr>
          <w:b/>
          <w:bCs/>
          <w:sz w:val="20"/>
          <w:szCs w:val="20"/>
        </w:rPr>
        <w:t xml:space="preserve">f) Por que não basta criar um comitê de TI para que exista Governança de TI?</w:t>
      </w:r>
    </w:p>
    <w:p>
      <w:pPr>
        <w:spacing w:after="90" w:line="230"/>
        <w:jc w:val="both"/>
      </w:pPr>
      <w:r>
        <w:rPr>
          <w:sz w:val="20"/>
          <w:szCs w:val="20"/>
        </w:rPr>
        <w:t xml:space="preserve">Porque o comitê é </w:t>
      </w:r>
      <w:r>
        <w:rPr>
          <w:b/>
          <w:bCs/>
          <w:sz w:val="20"/>
          <w:szCs w:val="20"/>
        </w:rPr>
        <w:t xml:space="preserve">apenas um mecanismo</w:t>
      </w:r>
      <w:r>
        <w:rPr>
          <w:sz w:val="20"/>
          <w:szCs w:val="20"/>
        </w:rPr>
        <w:t xml:space="preserve">, e governança é um sistema coordenado. Os autores apontam três tipos de mecanismos necessários: </w:t>
      </w:r>
      <w:r>
        <w:rPr>
          <w:b/>
          <w:bCs/>
          <w:sz w:val="20"/>
          <w:szCs w:val="20"/>
        </w:rPr>
        <w:t xml:space="preserve">estruturas de decisão</w:t>
      </w:r>
      <w:r>
        <w:rPr>
          <w:sz w:val="20"/>
          <w:szCs w:val="20"/>
        </w:rPr>
        <w:t xml:space="preserve"> (onde o comitê se encaixa), </w:t>
      </w:r>
      <w:r>
        <w:rPr>
          <w:b/>
          <w:bCs/>
          <w:sz w:val="20"/>
          <w:szCs w:val="20"/>
        </w:rPr>
        <w:t xml:space="preserve">processos de alinhamento</w:t>
      </w:r>
      <w:r>
        <w:rPr>
          <w:sz w:val="20"/>
          <w:szCs w:val="20"/>
        </w:rPr>
        <w:t xml:space="preserve"> (investimento, exceções à arquitetura, SLAs, </w:t>
      </w:r>
      <w:r>
        <w:rPr>
          <w:i/>
          <w:iCs/>
          <w:sz w:val="20"/>
          <w:szCs w:val="20"/>
        </w:rPr>
        <w:t xml:space="preserve">chargeback</w:t>
      </w:r>
      <w:r>
        <w:rPr>
          <w:sz w:val="20"/>
          <w:szCs w:val="20"/>
        </w:rPr>
        <w:t xml:space="preserve">, acompanhamento) e </w:t>
      </w:r>
      <w:r>
        <w:rPr>
          <w:b/>
          <w:bCs/>
          <w:sz w:val="20"/>
          <w:szCs w:val="20"/>
        </w:rPr>
        <w:t xml:space="preserve">comunicação formal</w:t>
      </w:r>
      <w:r>
        <w:rPr>
          <w:sz w:val="20"/>
          <w:szCs w:val="20"/>
        </w:rPr>
        <w:t xml:space="preserve">. A UPS não usou um comitê, e sim quatro mecanismos coordenados. Um mecanismo isolado pode até produzir o efeito contrário, como no caso do </w:t>
      </w:r>
      <w:r>
        <w:rPr>
          <w:i/>
          <w:iCs/>
          <w:sz w:val="20"/>
          <w:szCs w:val="20"/>
        </w:rPr>
        <w:t xml:space="preserve">chargeback</w:t>
      </w:r>
      <w:r>
        <w:rPr>
          <w:sz w:val="20"/>
          <w:szCs w:val="20"/>
        </w:rPr>
        <w:t xml:space="preserve">. Além disso, só </w:t>
      </w:r>
      <w:r>
        <w:rPr>
          <w:b/>
          <w:bCs/>
          <w:sz w:val="20"/>
          <w:szCs w:val="20"/>
        </w:rPr>
        <w:t xml:space="preserve">38% dos gestores seniores</w:t>
      </w:r>
      <w:r>
        <w:rPr>
          <w:sz w:val="20"/>
          <w:szCs w:val="20"/>
        </w:rPr>
        <w:t xml:space="preserve"> sabem como a TI é governada, e esse conhecimento foi o melhor preditor de eficácia — logo, comunicar faz parte da governança.</w:t>
      </w:r>
    </w:p>
    <w:p>
      <w:pPr>
        <w:pStyle w:val="Heading1"/>
        <w:pBdr>
          <w:bottom w:val="single" w:color="808080" w:sz="6" w:space="4"/>
        </w:pBdr>
        <w:spacing w:after="110" w:before="200"/>
      </w:pPr>
      <w:r>
        <w:rPr>
          <w:b/>
          <w:bCs/>
          <w:sz w:val="24"/>
          <w:szCs w:val="24"/>
        </w:rPr>
        <w:t xml:space="preserve">Questão 2 — Síntese: “Governança digital: uma estratégia para o sucesso da transformação digital na educação pública federal”</w:t>
      </w:r>
    </w:p>
    <w:p>
      <w:pPr>
        <w:spacing w:after="110" w:line="230"/>
      </w:pPr>
      <w:r>
        <w:rPr>
          <w:i/>
          <w:iCs/>
          <w:color w:val="595959"/>
          <w:sz w:val="18"/>
          <w:szCs w:val="18"/>
        </w:rPr>
        <w:t xml:space="preserve">CARDOSO, F. F.; MOREIRA, K. M.; PARENTE, R. V. Rev. Sítio Novo, Palmas, v. 9, e1795, 2025.</w:t>
      </w:r>
    </w:p>
    <w:p>
      <w:pPr>
        <w:spacing w:after="90" w:line="230"/>
        <w:jc w:val="both"/>
      </w:pPr>
      <w:r>
        <w:rPr>
          <w:b/>
          <w:bCs/>
          <w:sz w:val="20"/>
          <w:szCs w:val="20"/>
        </w:rPr>
        <w:t xml:space="preserve">Problema.</w:t>
      </w:r>
      <w:r>
        <w:rPr>
          <w:sz w:val="20"/>
          <w:szCs w:val="20"/>
        </w:rPr>
        <w:t xml:space="preserve"> Baixa maturidade em governança de TI no setor público, agravada nas Instituições Federais de Ensino (IFEs) pela descentralização multicampi, pelas restrições orçamentárias e pela escassez de profissionais. O IESGO 2024 do TCU mostrou que quase metade das 387 organizações avaliadas está em estágio inicial de maturidade, enquanto a Estratégia Federal de Governo Digital (EFGD 2024–2027, Decreto nº 12.198/2024) cobra o oposto. Frameworks como COBIT 2019, ITIL 4 e ABNT ISO/IEC 38500 existem, mas carecem de adaptação à realidade das IFEs.</w:t>
      </w:r>
    </w:p>
    <w:p>
      <w:pPr>
        <w:spacing w:after="90" w:line="230"/>
        <w:jc w:val="both"/>
      </w:pPr>
      <w:r>
        <w:rPr>
          <w:b/>
          <w:bCs/>
          <w:sz w:val="20"/>
          <w:szCs w:val="20"/>
        </w:rPr>
        <w:t xml:space="preserve">Objetivo e método.</w:t>
      </w:r>
      <w:r>
        <w:rPr>
          <w:sz w:val="20"/>
          <w:szCs w:val="20"/>
        </w:rPr>
        <w:t xml:space="preserve"> Analisar criticamente a implementação de um modelo de governança digital adaptado ao setor educacional público federal. Pesquisa aplicada e qualitativa pelo método </w:t>
      </w:r>
      <w:r>
        <w:rPr>
          <w:b/>
          <w:bCs/>
          <w:sz w:val="20"/>
          <w:szCs w:val="20"/>
        </w:rPr>
        <w:t xml:space="preserve">Design Science Research</w:t>
      </w:r>
      <w:r>
        <w:rPr>
          <w:sz w:val="20"/>
          <w:szCs w:val="20"/>
        </w:rPr>
        <w:t xml:space="preserve">, com estudo de caso longitudinal (2018–2024) em uma IFE multicampi da região Norte. Coleta por análise documental, entrevistas com 12 gestores de TI e grupo focal com 8 especialistas; análise de conteúdo complementada pelos índices </w:t>
      </w:r>
      <w:r>
        <w:rPr>
          <w:b/>
          <w:bCs/>
          <w:sz w:val="20"/>
          <w:szCs w:val="20"/>
        </w:rPr>
        <w:t xml:space="preserve">iGovTI</w:t>
      </w:r>
      <w:r>
        <w:rPr>
          <w:sz w:val="20"/>
          <w:szCs w:val="20"/>
        </w:rPr>
        <w:t xml:space="preserve"> e </w:t>
      </w:r>
      <w:r>
        <w:rPr>
          <w:b/>
          <w:bCs/>
          <w:sz w:val="20"/>
          <w:szCs w:val="20"/>
        </w:rPr>
        <w:t xml:space="preserve">iGestTI</w:t>
      </w:r>
      <w:r>
        <w:rPr>
          <w:sz w:val="20"/>
          <w:szCs w:val="20"/>
        </w:rPr>
        <w:t xml:space="preserve"> do TCU.</w:t>
      </w:r>
    </w:p>
    <w:p>
      <w:pPr>
        <w:spacing w:after="90" w:line="230"/>
        <w:jc w:val="both"/>
      </w:pPr>
      <w:r>
        <w:rPr>
          <w:b/>
          <w:bCs/>
          <w:sz w:val="20"/>
          <w:szCs w:val="20"/>
        </w:rPr>
        <w:t xml:space="preserve">Modelo proposto.</w:t>
      </w:r>
      <w:r>
        <w:rPr>
          <w:sz w:val="20"/>
          <w:szCs w:val="20"/>
        </w:rPr>
        <w:t xml:space="preserve"> Estruturado em seis dimensões — responsabilidade, estratégia, aquisição, desempenho, conformidade e comportamento humano — e dividido, no padrão COBIT, entre </w:t>
      </w:r>
      <w:r>
        <w:rPr>
          <w:b/>
          <w:bCs/>
          <w:sz w:val="20"/>
          <w:szCs w:val="20"/>
        </w:rPr>
        <w:t xml:space="preserve">governança</w:t>
      </w:r>
      <w:r>
        <w:rPr>
          <w:sz w:val="20"/>
          <w:szCs w:val="20"/>
        </w:rPr>
        <w:t xml:space="preserve"> (avaliar, dirigir e monitorar) e </w:t>
      </w:r>
      <w:r>
        <w:rPr>
          <w:b/>
          <w:bCs/>
          <w:sz w:val="20"/>
          <w:szCs w:val="20"/>
        </w:rPr>
        <w:t xml:space="preserve">gestão</w:t>
      </w:r>
      <w:r>
        <w:rPr>
          <w:sz w:val="20"/>
          <w:szCs w:val="20"/>
        </w:rPr>
        <w:t xml:space="preserve"> (alinhar e planejar; construir e adquirir; entregar e suportar; monitorar e avaliar), dentro de um ciclo PDCA. Os autores articulam os frameworks assim: o COBIT define </w:t>
      </w:r>
      <w:r>
        <w:rPr>
          <w:b/>
          <w:bCs/>
          <w:sz w:val="20"/>
          <w:szCs w:val="20"/>
        </w:rPr>
        <w:t xml:space="preserve">“o que”</w:t>
      </w:r>
      <w:r>
        <w:rPr>
          <w:sz w:val="20"/>
          <w:szCs w:val="20"/>
        </w:rPr>
        <w:t xml:space="preserve"> governar, o ITIL 4 </w:t>
      </w:r>
      <w:r>
        <w:rPr>
          <w:b/>
          <w:bCs/>
          <w:sz w:val="20"/>
          <w:szCs w:val="20"/>
        </w:rPr>
        <w:t xml:space="preserve">“como”</w:t>
      </w:r>
      <w:r>
        <w:rPr>
          <w:sz w:val="20"/>
          <w:szCs w:val="20"/>
        </w:rPr>
        <w:t xml:space="preserve"> operacionalizar e a ISO/IEC 38500 </w:t>
      </w:r>
      <w:r>
        <w:rPr>
          <w:b/>
          <w:bCs/>
          <w:sz w:val="20"/>
          <w:szCs w:val="20"/>
        </w:rPr>
        <w:t xml:space="preserve">“por que”</w:t>
      </w:r>
      <w:r>
        <w:rPr>
          <w:sz w:val="20"/>
          <w:szCs w:val="20"/>
        </w:rPr>
        <w:t xml:space="preserve"> governar.</w:t>
      </w:r>
    </w:p>
    <w:p>
      <w:pPr>
        <w:spacing w:after="90" w:line="230"/>
        <w:jc w:val="both"/>
      </w:pPr>
      <w:r>
        <w:rPr>
          <w:b/>
          <w:bCs/>
          <w:sz w:val="20"/>
          <w:szCs w:val="20"/>
        </w:rPr>
        <w:t xml:space="preserve">Resultados.</w:t>
      </w:r>
      <w:r>
        <w:rPr>
          <w:sz w:val="20"/>
          <w:szCs w:val="20"/>
        </w:rPr>
        <w:t xml:space="preserve"> A implantação foi progressiva: Diretoria de TI sistêmica (2018), Comitê Gestor de TI (2019), PDTIC (2020), política e modelo de governança digital com capacitação (2021), Programa de Privacidade e Segurança da Informação (2023) e integração dos planos com adesão à EFGD (2024). Os índices do TCU subiram de </w:t>
      </w:r>
      <w:r>
        <w:rPr>
          <w:b/>
          <w:bCs/>
          <w:sz w:val="20"/>
          <w:szCs w:val="20"/>
        </w:rPr>
        <w:t xml:space="preserve">28% para 75,5% (iGovTI)</w:t>
      </w:r>
      <w:r>
        <w:rPr>
          <w:sz w:val="20"/>
          <w:szCs w:val="20"/>
        </w:rPr>
        <w:t xml:space="preserve"> e de </w:t>
      </w:r>
      <w:r>
        <w:rPr>
          <w:b/>
          <w:bCs/>
          <w:sz w:val="20"/>
          <w:szCs w:val="20"/>
        </w:rPr>
        <w:t xml:space="preserve">34% para 88,5% (iGestTI)</w:t>
      </w:r>
      <w:r>
        <w:rPr>
          <w:sz w:val="20"/>
          <w:szCs w:val="20"/>
        </w:rPr>
        <w:t xml:space="preserve">, levando a instituição do nível “incipiente” ao “aprimorado”; a execução do plano diretor passou de 49,37% para 94,38%.</w:t>
      </w:r>
    </w:p>
    <w:p>
      <w:pPr>
        <w:spacing w:after="90" w:line="230"/>
        <w:jc w:val="both"/>
      </w:pPr>
      <w:r>
        <w:rPr>
          <w:b/>
          <w:bCs/>
          <w:sz w:val="20"/>
          <w:szCs w:val="20"/>
        </w:rPr>
        <w:t xml:space="preserve">Limitações e conclusão.</w:t>
      </w:r>
      <w:r>
        <w:rPr>
          <w:sz w:val="20"/>
          <w:szCs w:val="20"/>
        </w:rPr>
        <w:t xml:space="preserve"> Caso único, amostra por conveniência em instituição que já tinha histórico em governança digital, risco de viés de confirmação e ausência de auditoria externa — os achados não são generalizáveis. Persistem a rotatividade de servidores, a escassez de pessoal capacitado, as restrições orçamentárias e a baixa integração entre setores. A conclusão central é que a maturidade em governança digital </w:t>
      </w:r>
      <w:r>
        <w:rPr>
          <w:b/>
          <w:bCs/>
          <w:sz w:val="20"/>
          <w:szCs w:val="20"/>
        </w:rPr>
        <w:t xml:space="preserve">não evolui de forma linear</w:t>
      </w:r>
      <w:r>
        <w:rPr>
          <w:sz w:val="20"/>
          <w:szCs w:val="20"/>
        </w:rPr>
        <w:t xml:space="preserve">: depende do apoio da alta gestão, da cultura organizacional e das políticas públicas, exigindo uma abordagem sistêmica e contínua.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02 — Governança de TI</dc:title>
  <dc:creator>Douglas</dc:creator>
  <cp:lastModifiedBy>Un-named</cp:lastModifiedBy>
  <cp:revision>1</cp:revision>
  <dcterms:created xsi:type="dcterms:W3CDTF">2026-09-18T13:44:04.581Z</dcterms:created>
  <dcterms:modified xsi:type="dcterms:W3CDTF">2026-09-18T13:44:04.590Z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