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LISTA 02 — GOVERNANÇA DE TI</w:t>
      </w:r>
    </w:p>
    <w:p>
      <w:pPr>
        <w:pBdr>
          <w:bottom w:val="single" w:color="1F3864" w:sz="8" w:space="10"/>
        </w:pBdr>
        <w:spacing w:after="260"/>
        <w:jc w:val="center"/>
      </w:pPr>
      <w:r>
        <w:rPr>
          <w:i/>
          <w:iCs/>
          <w:color w:val="595959"/>
          <w:sz w:val="24"/>
          <w:szCs w:val="24"/>
        </w:rPr>
        <w:t xml:space="preserve">Atividade — Governança de TI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Curso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Tecnologia em Análise e Desenvolvimento de Sistemas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Disciplina</w:t>
            </w:r>
          </w:p>
        </w:tc>
        <w:tc>
          <w:tcPr>
            <w:tcW w:type="dxa" w:w="7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Governança e Conformidade Tecnológica — JCRGCTC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Professor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Lineu Mialaret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Aluno</w:t>
            </w:r>
          </w:p>
        </w:tc>
        <w:tc>
          <w:tcPr>
            <w:tcW w:type="dxa" w:w="7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Douglas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02/09/2026</w:t>
            </w:r>
          </w:p>
        </w:tc>
      </w:tr>
    </w:tbl>
    <w:p>
      <w:pPr>
        <w:spacing w:after="160"/>
      </w:pPr>
    </w:p>
    <w:p>
      <w:pPr>
        <w:pStyle w:val="Heading1"/>
        <w:spacing w:after="200" w:before="280"/>
      </w:pPr>
      <w:r>
        <w:rPr>
          <w:b/>
          <w:bCs/>
          <w:color w:val="1F3864"/>
          <w:sz w:val="32"/>
          <w:szCs w:val="32"/>
        </w:rPr>
        <w:t xml:space="preserve">Questão 1 — Artigo “IT Governance on One Page”</w:t>
      </w:r>
    </w:p>
    <w:p>
      <w:pPr>
        <w:pBdr>
          <w:left w:val="single" w:color="BFBFBF" w:sz="12" w:space="10"/>
        </w:pBdr>
        <w:spacing w:after="140" w:line="264"/>
        <w:ind w:left="340"/>
      </w:pPr>
      <w:r>
        <w:rPr>
          <w:i/>
          <w:iCs/>
          <w:color w:val="595959"/>
          <w:sz w:val="20"/>
          <w:szCs w:val="20"/>
        </w:rPr>
        <w:t xml:space="preserve">WEILL, Peter; ROSS, Jeanne W. IT Governance on One Page. MIT Sloan School of Management, Center for Information Systems Research (CISR), CISR Working Paper No. 349 / Sloan Working Paper No. 4516-04, novembro de 2004.</w:t>
      </w:r>
    </w:p>
    <w:p>
      <w:pPr>
        <w:spacing w:after="140" w:line="276"/>
      </w:pPr>
      <w:r>
        <w:t xml:space="preserve">O artigo é resultado de duas pesquisas conduzidas pelo CISR do MIT: um levantamento com CIOs de 256 empresas das Américas, Europa e Ásia-Pacífico e um conjunto de 40 estudos de caso baseados em entrevistas, totalizando cerca de 300 organizações em 23 países.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a) O que é Governança de TI?</w:t>
      </w:r>
    </w:p>
    <w:p>
      <w:pPr>
        <w:spacing w:after="140" w:line="276"/>
      </w:pPr>
      <w:r>
        <w:t xml:space="preserve">Governança de TI é o </w:t>
      </w:r>
      <w:r>
        <w:rPr>
          <w:b/>
          <w:bCs/>
        </w:rPr>
        <w:t xml:space="preserve">arcabouço de direitos de decisão e de responsabilização (accountability) que serve para incentivar comportamentos desejáveis no uso da Tecnologia da Informação</w:t>
      </w:r>
      <w:r>
        <w:t xml:space="preserve">. Em outras palavras, é o conjunto de regras e estruturas que define </w:t>
      </w:r>
      <w:r>
        <w:rPr>
          <w:b/>
          <w:bCs/>
        </w:rPr>
        <w:t xml:space="preserve">quem tem o direito de decidir cada assunto de TI dentro da organização e quem responde pelos resultados dessas decisões</w:t>
      </w:r>
      <w:r>
        <w:t xml:space="preserve">.</w:t>
      </w:r>
    </w:p>
    <w:p>
      <w:pPr>
        <w:spacing w:after="140" w:line="276"/>
      </w:pPr>
      <w:r>
        <w:t xml:space="preserve">Alguns pontos que o artigo deixa claro sobre essa definição: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Ela reflete a governança corporativa como um todo.</w:t>
      </w:r>
      <w:r>
        <w:t xml:space="preserve"> A governança de TI não é uma ilha: ela espelha os princípios mais amplos de governança da organização, só que focada na gestão e no uso da TI para alcançar as metas de desempenho do negócio. Como a TI está ligada aos outros ativos da empresa (financeiro, humano, propriedade intelectual, físico e de relacionamento), é comum que ela compartilhe mecanismos com a governança desses outros ativos — comitês executivos e processos de orçamento, por exemplo.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Ela precisa ser desenhada de propósito.</w:t>
      </w:r>
      <w:r>
        <w:t xml:space="preserve"> A frase que resume o artigo é: “governança de TI eficaz não acontece por acidente”. Ela não pode ser o resultado acidental de mecanismos isolados (um comitê aqui, um SLA ali, um escritório de arquitetura depois) criados em momentos diferentes para apagar o incêndio da vez. As organizações de melhor desempenho </w:t>
      </w:r>
      <w:r>
        <w:rPr>
          <w:b/>
          <w:bCs/>
        </w:rPr>
        <w:t xml:space="preserve">desenham</w:t>
      </w:r>
      <w:r>
        <w:t xml:space="preserve"> a governança conscientemente.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Ela precisa ser conhecida.</w:t>
      </w:r>
      <w:r>
        <w:t xml:space="preserve"> A pesquisa mostrou que, em média, </w:t>
      </w:r>
      <w:r>
        <w:rPr>
          <w:b/>
          <w:bCs/>
        </w:rPr>
        <w:t xml:space="preserve">apenas 38% dos gestores seniores</w:t>
      </w:r>
      <w:r>
        <w:t xml:space="preserve"> sabiam como a TI era governada em suas empresas. E o grau de conhecimento da alta gestão sobre os processos de governança foi o </w:t>
      </w:r>
      <w:r>
        <w:rPr>
          <w:b/>
          <w:bCs/>
        </w:rPr>
        <w:t xml:space="preserve">melhor indicador isolado de eficácia da governança</w:t>
      </w:r>
      <w:r>
        <w:t xml:space="preserve">: nas empresas de melhor desempenho, 60%, 70% ou 80% dos executivos seniores sabiam como a TI era governada.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Ela dá retorno financeiro.</w:t>
      </w:r>
      <w:r>
        <w:t xml:space="preserve"> Empresas com governança de TI eficaz apresentaram </w:t>
      </w:r>
      <w:r>
        <w:rPr>
          <w:b/>
          <w:bCs/>
        </w:rPr>
        <w:t xml:space="preserve">lucros cerca de 20% maiores</w:t>
      </w:r>
      <w:r>
        <w:t xml:space="preserve"> do que empresas que seguiam estratégias semelhantes com governança mais fraca (comparação feita com ROA, dentro da mesma estratégia). O desempenho da governança também se correlacionou estatisticamente com medidas financeiras de três anos, como ROE e crescimento do valor de mercado.</w:t>
      </w:r>
    </w:p>
    <w:p>
      <w:pPr>
        <w:spacing w:after="140" w:line="276"/>
      </w:pPr>
      <w:r>
        <w:t xml:space="preserve">Para medir isso, os autores propõem uma autoavaliação em que a organização pondera a importância de quatro objetivos e nota o próprio desempenho em cada um, gerando uma pontuação de 0 a 100: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uso da TI com boa relação custo-benefício;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uso eficaz da TI para </w:t>
      </w:r>
      <w:r>
        <w:rPr>
          <w:b/>
          <w:bCs/>
        </w:rPr>
        <w:t xml:space="preserve">utilização de ativos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uso eficaz da TI para </w:t>
      </w:r>
      <w:r>
        <w:rPr>
          <w:b/>
          <w:bCs/>
        </w:rPr>
        <w:t xml:space="preserve">crescimento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uso eficaz da TI para </w:t>
      </w:r>
      <w:r>
        <w:rPr>
          <w:b/>
          <w:bCs/>
        </w:rPr>
        <w:t xml:space="preserve">flexibilidade do negócio</w:t>
      </w:r>
      <w:r>
        <w:t xml:space="preserve">.</w:t>
      </w:r>
    </w:p>
    <w:p>
      <w:pPr>
        <w:spacing w:after="140" w:line="276"/>
      </w:pPr>
      <w:r>
        <w:t xml:space="preserve">Na pesquisa, a média foi 69 pontos; só 17% das empresas passaram de 80 e apenas 7% passaram de 90.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b) Qual a diferença entre Governança de TI e gestão de TI?</w:t>
      </w:r>
    </w:p>
    <w:p>
      <w:pPr>
        <w:spacing w:after="140" w:line="276"/>
      </w:pPr>
      <w:r>
        <w:t xml:space="preserve">A diferença está em </w:t>
      </w:r>
      <w:r>
        <w:rPr>
          <w:b/>
          <w:bCs/>
        </w:rPr>
        <w:t xml:space="preserve">“quem decide” versus “o que se decide e como se executa”</w:t>
      </w:r>
      <w: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50"/>
        <w:gridCol w:w="375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75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Governança de TI</w:t>
            </w:r>
          </w:p>
        </w:tc>
        <w:tc>
          <w:tcPr>
            <w:tcW w:type="dxa" w:w="375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Gestão de TI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Pergunta que responde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Quem tem o direito de tomar cada decisão e quem presta contas pelo resultado?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 que decidir e como executar no dia a dia?</w:t>
            </w:r>
          </w:p>
        </w:tc>
      </w:tr>
      <w:tr>
        <w:trPr>
          <w:tblHeader w:val="false"/>
        </w:trPr>
        <w:tc>
          <w:tcPr>
            <w:tcW w:type="dxa" w:w="21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Natureza</w:t>
            </w:r>
          </w:p>
        </w:tc>
        <w:tc>
          <w:tcPr>
            <w:tcW w:type="dxa" w:w="37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Arcabouço, desenho, regras do jogo</w:t>
            </w:r>
          </w:p>
        </w:tc>
        <w:tc>
          <w:tcPr>
            <w:tcW w:type="dxa" w:w="37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Tomada de decisão e execução dentro dessas regras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Quem faz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Desenhada pela alta administração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Exercida pelos gestores em todos os níveis, diariamente</w:t>
            </w:r>
          </w:p>
        </w:tc>
      </w:tr>
      <w:tr>
        <w:trPr>
          <w:tblHeader w:val="false"/>
        </w:trPr>
        <w:tc>
          <w:tcPr>
            <w:tcW w:type="dxa" w:w="21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Horizonte</w:t>
            </w:r>
          </w:p>
        </w:tc>
        <w:tc>
          <w:tcPr>
            <w:tcW w:type="dxa" w:w="37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Mais estável; tende a durar mais que a própria estrutura organizacional</w:t>
            </w:r>
          </w:p>
        </w:tc>
        <w:tc>
          <w:tcPr>
            <w:tcW w:type="dxa" w:w="37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Contínua e operacional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Exemplo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Definir que o comitê executivo decide os princípios e o investimento de TI, e que o CIO responde por arquitetura e infraestrutura (arranjo da UPS)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Escolher o fornecedor do storage, aprovar o cronograma do projeto, resolver um incidente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A governança </w:t>
      </w:r>
      <w:r>
        <w:rPr>
          <w:b/>
          <w:bCs/>
        </w:rPr>
        <w:t xml:space="preserve">não substitui</w:t>
      </w:r>
      <w:r>
        <w:t xml:space="preserve"> a gestão: ela cria as condições para que a gestão aconteça de forma coerente. O artigo mostra isso quando diz que o primeiro passo para desenhar a governança de TI é </w:t>
      </w:r>
      <w:r>
        <w:rPr>
          <w:b/>
          <w:bCs/>
        </w:rPr>
        <w:t xml:space="preserve">determinar quem deve tomar — e por quem deve responder — cada área de decisão</w:t>
      </w:r>
      <w:r>
        <w:t xml:space="preserve">. Depois disso é que entram os </w:t>
      </w:r>
      <w:r>
        <w:rPr>
          <w:b/>
          <w:bCs/>
        </w:rPr>
        <w:t xml:space="preserve">mecanismos</w:t>
      </w:r>
      <w:r>
        <w:t xml:space="preserve"> (comitês, processos de orçamento, acordos de nível de serviço, chargeback, processos de arquitetura), e são justamente esses mecanismos que os </w:t>
      </w:r>
      <w:r>
        <w:rPr>
          <w:b/>
          <w:bCs/>
        </w:rPr>
        <w:t xml:space="preserve">gestores manipulam no dia a dia</w:t>
      </w:r>
      <w:r>
        <w:t xml:space="preserve">, colocando a governança em prática.</w:t>
      </w:r>
    </w:p>
    <w:p>
      <w:pPr>
        <w:spacing w:after="140" w:line="276"/>
      </w:pPr>
      <w:r>
        <w:t xml:space="preserve">Outra distinção importante do artigo: os arranjos de governança </w:t>
      </w:r>
      <w:r>
        <w:rPr>
          <w:b/>
          <w:bCs/>
        </w:rPr>
        <w:t xml:space="preserve">transcendem a estrutura organizacional</w:t>
      </w:r>
      <w:r>
        <w:t xml:space="preserve"> e costumam ser mais estáveis do que ela. Ou seja, em vez de reorganizar a empresa toda vez que as prioridades mudam, é possível mudar mecanismos de governança para induzir novos comportamentos — o que é mais barato e menos traumático do que uma reestruturação.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c) Por que a definição de responsabilidades é importante?</w:t>
      </w:r>
    </w:p>
    <w:p>
      <w:pPr>
        <w:spacing w:after="140" w:line="276"/>
      </w:pPr>
      <w:r>
        <w:t xml:space="preserve">Por três motivos que o artigo desenvolve:</w:t>
      </w:r>
    </w:p>
    <w:p>
      <w:pPr>
        <w:spacing w:after="140" w:line="276"/>
      </w:pPr>
      <w:r>
        <w:rPr>
          <w:b/>
          <w:bCs/>
        </w:rPr>
        <w:t xml:space="preserve">1. Porque os resultados da TI são difíceis de medir.</w:t>
      </w:r>
      <w:r>
        <w:t xml:space="preserve"> O artigo afirma diretamente que, como os resultados de TI frequentemente são difíceis de mensurar, as organizações </w:t>
      </w:r>
      <w:r>
        <w:rPr>
          <w:b/>
          <w:bCs/>
        </w:rPr>
        <w:t xml:space="preserve">precisam atribuir responsabilidade pelos resultados desejados e avaliar o quanto eles foram atingidos</w:t>
      </w:r>
      <w:r>
        <w:t xml:space="preserve">. Sem um responsável nomeado, não há a quem cobrar — e o que não é cobrado não é entregue.</w:t>
      </w:r>
    </w:p>
    <w:p>
      <w:pPr>
        <w:spacing w:after="140" w:line="276"/>
      </w:pPr>
      <w:r>
        <w:rPr>
          <w:b/>
          <w:bCs/>
        </w:rPr>
        <w:t xml:space="preserve">2. Porque, sem responsabilidades formais, as decisões individuais se contradizem.</w:t>
      </w:r>
      <w:r>
        <w:t xml:space="preserve"> Sem governança formal, cada gestor resolve os problemas isolados conforme eles aparecem, e essas ações individuais podem ser </w:t>
      </w:r>
      <w:r>
        <w:rPr>
          <w:b/>
          <w:bCs/>
        </w:rPr>
        <w:t xml:space="preserve">contraditórias entre si</w:t>
      </w:r>
      <w:r>
        <w:t xml:space="preserve">. O artigo traz um caso concreto e didático:</w:t>
      </w:r>
    </w:p>
    <w:p>
      <w:pPr>
        <w:pBdr>
          <w:left w:val="single" w:color="BFBFBF" w:sz="12" w:space="10"/>
        </w:pBdr>
        <w:spacing w:after="140" w:line="264"/>
        <w:ind w:left="340"/>
      </w:pPr>
      <w:r>
        <w:rPr>
          <w:i/>
          <w:iCs/>
          <w:color w:val="595959"/>
          <w:sz w:val="20"/>
          <w:szCs w:val="20"/>
        </w:rPr>
        <w:t xml:space="preserve">Em uma empresa global de transportes, o CIO foi instruído a cortar o orçamento corporativo de TI. Ele criou um sistema de chargeback para reduzir a demanda por serviços de TI. Insatisfeitos com as novas cobranças, os gestores das unidades de negócio passaram a contratar especialistas técnicos próprios por um preço que consideravam aceitável. Como essas contratações não apareciam no orçamento corporativo de TI, parecia que o CIO havia cumprido a meta — mas o gasto total da empresa com TI aumentou em vez de diminuir. Pior: as soluções locais criadas pelas unidades comprometeram a integridade dos dados corporativos e degradaram o atendimento aos clientes atendidos por mais de uma unidade de negócio.</w:t>
      </w:r>
    </w:p>
    <w:p>
      <w:pPr>
        <w:spacing w:after="140" w:line="276"/>
      </w:pPr>
      <w:r>
        <w:t xml:space="preserve">Esse caso mostra que um mecanismo isolado (o chargeback), sem responsabilidades claras pelo resultado final, produziu exatamente o contrário do que se queria.</w:t>
      </w:r>
    </w:p>
    <w:p>
      <w:pPr>
        <w:spacing w:after="140" w:line="276"/>
      </w:pPr>
      <w:r>
        <w:rPr>
          <w:b/>
          <w:bCs/>
        </w:rPr>
        <w:t xml:space="preserve">3. Porque a responsabilização clara é o que transforma a TI de fato.</w:t>
      </w:r>
      <w:r>
        <w:t xml:space="preserve"> O contraponto do artigo é a </w:t>
      </w:r>
      <w:r>
        <w:rPr>
          <w:b/>
          <w:bCs/>
        </w:rPr>
        <w:t xml:space="preserve">UNICEF</w:t>
      </w:r>
      <w:r>
        <w:t xml:space="preserve">: quando a alta gestão percebeu que a TI tinha papel cada vez mais estratégico na missão de entregar serviços a crianças, a equipe executiva </w:t>
      </w:r>
      <w:r>
        <w:rPr>
          <w:b/>
          <w:bCs/>
        </w:rPr>
        <w:t xml:space="preserve">assumiu a responsabilidade</w:t>
      </w:r>
      <w:r>
        <w:t xml:space="preserve"> de garantir que a TI atendesse aos objetivos organizacionais. Os diretores de divisão foram </w:t>
      </w:r>
      <w:r>
        <w:rPr>
          <w:b/>
          <w:bCs/>
        </w:rPr>
        <w:t xml:space="preserve">responsabilizados pela implantação dos sistemas globais</w:t>
      </w:r>
      <w:r>
        <w:t xml:space="preserve"> e o CIO foi </w:t>
      </w:r>
      <w:r>
        <w:rPr>
          <w:b/>
          <w:bCs/>
        </w:rPr>
        <w:t xml:space="preserve">responsabilizado pela entrega dos serviços-chave de infraestrutura</w:t>
      </w:r>
      <w:r>
        <w:t xml:space="preserve">. O resultado é que a TI transformou a forma como a UNICEF opera, levando serviços de TI a escritórios de campo remotos e melhorando fluxo de informação, transparência e comunicação.</w:t>
      </w:r>
    </w:p>
    <w:p>
      <w:pPr>
        <w:spacing w:after="140" w:line="276"/>
      </w:pPr>
      <w:r>
        <w:t xml:space="preserve">Há ainda um quarto efeito, ilustrado pela </w:t>
      </w:r>
      <w:r>
        <w:rPr>
          <w:b/>
          <w:bCs/>
        </w:rPr>
        <w:t xml:space="preserve">UPS</w:t>
      </w:r>
      <w:r>
        <w:t xml:space="preserve">: quando as responsabilidades são claras e a governança é </w:t>
      </w:r>
      <w:r>
        <w:rPr>
          <w:b/>
          <w:bCs/>
        </w:rPr>
        <w:t xml:space="preserve">transparente</w:t>
      </w:r>
      <w:r>
        <w:t xml:space="preserve">, todo mundo entende e segue os processos estabelecidos para propor, implementar e usar TI — o que </w:t>
      </w:r>
      <w:r>
        <w:rPr>
          <w:b/>
          <w:bCs/>
        </w:rPr>
        <w:t xml:space="preserve">limita o papel da política organizacional</w:t>
      </w:r>
      <w:r>
        <w:t xml:space="preserve"> nas decisões de TI.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d) O que significa alinhamento entre TI e objetivos organizacionais?</w:t>
      </w:r>
    </w:p>
    <w:p>
      <w:pPr>
        <w:spacing w:after="140" w:line="276"/>
      </w:pPr>
      <w:r>
        <w:t xml:space="preserve">Significa que </w:t>
      </w:r>
      <w:r>
        <w:rPr>
          <w:b/>
          <w:bCs/>
        </w:rPr>
        <w:t xml:space="preserve">as ações e os comportamentos relacionados à TI — não só as grandes decisões, mas as decisões do dia a dia tomadas por muita gente na organização — apontam na mesma direção das metas de desempenho da organização</w:t>
      </w:r>
      <w:r>
        <w:t xml:space="preserve">, e que existe alguém responsabilizado por cada um desses resultados. O próprio artigo define governança de TI como o processo pelo qual as empresas alinham as ações de TI às suas metas de desempenho e atribuem responsabilidade por essas ações e seus resultados.</w:t>
      </w:r>
    </w:p>
    <w:p>
      <w:pPr>
        <w:spacing w:after="140" w:line="276"/>
      </w:pPr>
      <w:r>
        <w:t xml:space="preserve">Na prática, o alinhamento aparece em três níveis:</w:t>
      </w:r>
    </w:p>
    <w:p>
      <w:pPr>
        <w:pStyle w:val="Heading3"/>
        <w:spacing w:after="120" w:before="220"/>
      </w:pPr>
      <w:r>
        <w:rPr>
          <w:b/>
          <w:bCs/>
          <w:color w:val="595959"/>
          <w:sz w:val="23"/>
          <w:szCs w:val="23"/>
        </w:rPr>
        <w:t xml:space="preserve">1. Alinhamento de objetivo</w:t>
      </w:r>
    </w:p>
    <w:p>
      <w:pPr>
        <w:spacing w:after="140" w:line="276"/>
      </w:pPr>
      <w:r>
        <w:t xml:space="preserve">A organização precisa saber </w:t>
      </w:r>
      <w:r>
        <w:rPr>
          <w:i/>
          <w:iCs/>
        </w:rPr>
        <w:t xml:space="preserve">para quê</w:t>
      </w:r>
      <w:r>
        <w:t xml:space="preserve"> quer a TI. O artigo mostra que o desenho de governança dos melhores desempenhos </w:t>
      </w:r>
      <w:r>
        <w:rPr>
          <w:b/>
          <w:bCs/>
        </w:rPr>
        <w:t xml:space="preserve">varia conforme o direcionador estratégico</w:t>
      </w:r>
      <w: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Direcionador estratégico</w:t>
            </w:r>
          </w:p>
        </w:tc>
        <w:tc>
          <w:tcPr>
            <w:tcW w:type="dxa" w:w="3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Métricas-chave</w:t>
            </w:r>
          </w:p>
        </w:tc>
        <w:tc>
          <w:tcPr>
            <w:tcW w:type="dxa" w:w="3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Governança predominante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Lucro (integração corporativa, foco em competências centrais)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ROI/ROE, custo dos processos de negócio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Mais centralizada — monarquias e federal</w:t>
            </w:r>
          </w:p>
        </w:tc>
      </w:tr>
      <w:tr>
        <w:trPr>
          <w:tblHeader w:val="false"/>
        </w:trPr>
        <w:tc>
          <w:tcPr>
            <w:tcW w:type="dxa" w:w="27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Utilização de ativos (compartilhamento e reúso)</w:t>
            </w:r>
          </w:p>
        </w:tc>
        <w:tc>
          <w:tcPr>
            <w:tcW w:type="dxa" w:w="30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ROA, custo unitário de TI</w:t>
            </w:r>
          </w:p>
        </w:tc>
        <w:tc>
          <w:tcPr>
            <w:tcW w:type="dxa" w:w="39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Híbrida — federal e duopólios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Crescimento (inovação e time-to-market nas unidades)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Crescimento de receita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Mais descentralizada — arranjos feudais, ênfase em gestão de risco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Ou seja, não existe um “melhor modelo” universal: alinhar é </w:t>
      </w:r>
      <w:r>
        <w:rPr>
          <w:b/>
          <w:bCs/>
        </w:rPr>
        <w:t xml:space="preserve">escolher o desenho de governança que produz os comportamentos que aquela estratégia específica exige</w:t>
      </w:r>
      <w:r>
        <w:t xml:space="preserve">.</w:t>
      </w:r>
    </w:p>
    <w:p>
      <w:pPr>
        <w:pStyle w:val="Heading3"/>
        <w:spacing w:after="120" w:before="220"/>
      </w:pPr>
      <w:r>
        <w:rPr>
          <w:b/>
          <w:bCs/>
          <w:color w:val="595959"/>
          <w:sz w:val="23"/>
          <w:szCs w:val="23"/>
        </w:rPr>
        <w:t xml:space="preserve">2. Alinhamento por processos (os alignment processes)</w:t>
      </w:r>
    </w:p>
    <w:p>
      <w:pPr>
        <w:spacing w:after="140" w:line="276"/>
      </w:pPr>
      <w:r>
        <w:t xml:space="preserve">O artigo é claro ao dizer que governança eficaz é tanto sobre </w:t>
      </w:r>
      <w:r>
        <w:rPr>
          <w:b/>
          <w:bCs/>
        </w:rPr>
        <w:t xml:space="preserve">ações</w:t>
      </w:r>
      <w:r>
        <w:t xml:space="preserve"> quanto sobre decisões. Os processos de alinhamento são as técnicas de gestão de TI que garantem envolvimento amplo na gestão e no uso eficaz da TI, tanto dando entrada nas decisões quanto formalizando a execução delas. Os principais citados são: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processo de proposta de investimento em TI;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processo de exceção à arquitetura;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acordos de nível de serviço (SLAs);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chargeback;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acompanhamento de projetos;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acompanhamento formal do valor de negócio gerado pela TI</w:t>
      </w:r>
      <w:r>
        <w:t xml:space="preserve">.</w:t>
      </w:r>
    </w:p>
    <w:p>
      <w:pPr>
        <w:pStyle w:val="Heading3"/>
        <w:spacing w:after="120" w:before="220"/>
      </w:pPr>
      <w:r>
        <w:rPr>
          <w:b/>
          <w:bCs/>
          <w:color w:val="595959"/>
          <w:sz w:val="23"/>
          <w:szCs w:val="23"/>
        </w:rPr>
        <w:t xml:space="preserve">3. Alinhamento é via de mão dupla</w:t>
      </w:r>
    </w:p>
    <w:p>
      <w:pPr>
        <w:spacing w:after="140" w:line="276"/>
      </w:pPr>
      <w:r>
        <w:t xml:space="preserve">O caso do </w:t>
      </w:r>
      <w:r>
        <w:rPr>
          <w:b/>
          <w:bCs/>
        </w:rPr>
        <w:t xml:space="preserve">ING DIRECT</w:t>
      </w:r>
      <w:r>
        <w:t xml:space="preserve"> mostra que o alinhamento não é a TI correndo atrás da estratégia: o Conselho de TI e Operações reúne CIOs e COOs dos países, e o resultado dessas reuniões </w:t>
      </w:r>
      <w:r>
        <w:rPr>
          <w:b/>
          <w:bCs/>
        </w:rPr>
        <w:t xml:space="preserve">alimenta a reunião executiva onde a estratégia internacional é definida</w:t>
      </w:r>
      <w:r>
        <w:t xml:space="preserve">. Dessa forma, as capacidades de TI influenciam a estratégia de negócio assim como a estratégia influencia a TI.</w:t>
      </w:r>
    </w:p>
    <w:p>
      <w:pPr>
        <w:spacing w:after="140" w:line="276"/>
      </w:pPr>
      <w:r>
        <w:t xml:space="preserve">Vale registrar também o trade-off central que o artigo coloca como primeiro passo do desenho: </w:t>
      </w:r>
      <w:r>
        <w:rPr>
          <w:b/>
          <w:bCs/>
        </w:rPr>
        <w:t xml:space="preserve">sinergia versus autonomia</w:t>
      </w:r>
      <w:r>
        <w:t xml:space="preserve">. Alinhar exige decidir conscientemente quanto a organização quer ganhar com padronização e compartilhamento (sinergia) e quanto quer preservar de liberdade das unidades (autonomia) — e comunicar essa decisão para toda a organização.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e) Quais são as cinco categorias de decisões de TI apresentadas por Weill e Ross?</w:t>
      </w:r>
    </w:p>
    <w:p>
      <w:pPr>
        <w:spacing w:after="140" w:line="276"/>
      </w:pPr>
      <w:r>
        <w:t xml:space="preserve">As cinco decisões (os cinco </w:t>
      </w:r>
      <w:r>
        <w:rPr>
          <w:b/>
          <w:bCs/>
        </w:rPr>
        <w:t xml:space="preserve">domínios de decisão</w:t>
      </w:r>
      <w:r>
        <w:t xml:space="preserve">) são:</w:t>
      </w:r>
    </w:p>
    <w:p>
      <w:pPr>
        <w:spacing w:after="140" w:line="276"/>
      </w:pPr>
      <w:r>
        <w:rPr>
          <w:b/>
          <w:bCs/>
        </w:rPr>
        <w:t xml:space="preserve">1. Princípios de TI (IT principles)</w:t>
      </w:r>
      <w:r>
        <w:t xml:space="preserve"> — decisões de alto nível sobre o </w:t>
      </w:r>
      <w:r>
        <w:rPr>
          <w:b/>
          <w:bCs/>
        </w:rPr>
        <w:t xml:space="preserve">papel estratégico da TI no negócio</w:t>
      </w:r>
      <w:r>
        <w:t xml:space="preserve">. Perguntas típicas: Qual é o papel da TI no negócio? Como os princípios do negócio se traduzem em princípios de TI? Quais são os comportamentos desejáveis em relação à TI? Como a TI será financiada?</w:t>
      </w:r>
    </w:p>
    <w:p>
      <w:pPr>
        <w:spacing w:after="140" w:line="276"/>
      </w:pPr>
      <w:r>
        <w:rPr>
          <w:b/>
          <w:bCs/>
        </w:rPr>
        <w:t xml:space="preserve">2. Arquitetura de TI (IT architecture)</w:t>
      </w:r>
      <w:r>
        <w:t xml:space="preserve"> — um </w:t>
      </w:r>
      <w:r>
        <w:rPr>
          <w:b/>
          <w:bCs/>
        </w:rPr>
        <w:t xml:space="preserve">conjunto integrado de escolhas técnicas</w:t>
      </w:r>
      <w:r>
        <w:t xml:space="preserve"> que orienta a organização no atendimento às necessidades do negócio. Perguntas típicas: Quais são os processos de negócio centrais e como se relacionam? Quais informações movem esses processos e como os dados devem ser integrados? Que capacidades técnicas devem ser padronizadas em toda a organização? Que escolhas tecnológicas guiarão as iniciativas de TI?</w:t>
      </w:r>
    </w:p>
    <w:p>
      <w:pPr>
        <w:spacing w:after="140" w:line="276"/>
      </w:pPr>
      <w:r>
        <w:rPr>
          <w:b/>
          <w:bCs/>
        </w:rPr>
        <w:t xml:space="preserve">3. Infraestrutura de TI (IT infrastructure)</w:t>
      </w:r>
      <w:r>
        <w:t xml:space="preserve"> — </w:t>
      </w:r>
      <w:r>
        <w:rPr>
          <w:b/>
          <w:bCs/>
        </w:rPr>
        <w:t xml:space="preserve">serviços de TI compartilhados e coordenados centralmente</w:t>
      </w:r>
      <w:r>
        <w:t xml:space="preserve">, que formam a base da capacidade de TI da organização e que </w:t>
      </w:r>
      <w:r>
        <w:rPr>
          <w:b/>
          <w:bCs/>
        </w:rPr>
        <w:t xml:space="preserve">tipicamente são criados antes de se conhecerem as necessidades exatas de uso</w:t>
      </w:r>
      <w:r>
        <w:t xml:space="preserve">. Perguntas típicas: Quais serviços de infraestrutura são mais críticos para os objetivos estratégicos? Quais devem valer para toda a organização e com quais níveis de serviço? Como esses serviços devem ser precificados? Qual o plano para manter as tecnologias atualizadas? O que deve ser terceirizado?</w:t>
      </w:r>
    </w:p>
    <w:p>
      <w:pPr>
        <w:spacing w:after="140" w:line="276"/>
      </w:pPr>
      <w:r>
        <w:rPr>
          <w:b/>
          <w:bCs/>
        </w:rPr>
        <w:t xml:space="preserve">4. Necessidades de aplicações de negócio (business application needs)</w:t>
      </w:r>
      <w:r>
        <w:t xml:space="preserve"> — os </w:t>
      </w:r>
      <w:r>
        <w:rPr>
          <w:b/>
          <w:bCs/>
        </w:rPr>
        <w:t xml:space="preserve">requisitos de negócio</w:t>
      </w:r>
      <w:r>
        <w:t xml:space="preserve"> para aplicações compradas ou desenvolvidas internamente. Perguntas típicas: Quais são as oportunidades de mercado e de processo para novas aplicações? Como atender a uma necessidade de negócio dentro dos padrões de arquitetura — e quando uma necessidade justifica uma exceção ao padrão? </w:t>
      </w:r>
      <w:r>
        <w:rPr>
          <w:b/>
          <w:bCs/>
        </w:rPr>
        <w:t xml:space="preserve">Quem será o dono do resultado de cada projeto</w:t>
      </w:r>
      <w:r>
        <w:t xml:space="preserve"> e conduzirá as mudanças organizacionais necessárias para garantir o valor?</w:t>
      </w:r>
    </w:p>
    <w:p>
      <w:pPr>
        <w:spacing w:after="140" w:line="276"/>
      </w:pPr>
      <w:r>
        <w:rPr>
          <w:b/>
          <w:bCs/>
        </w:rPr>
        <w:t xml:space="preserve">5. Priorização e investimento (prioritization and investment)</w:t>
      </w:r>
      <w:r>
        <w:t xml:space="preserve"> — decisões sobre </w:t>
      </w:r>
      <w:r>
        <w:rPr>
          <w:b/>
          <w:bCs/>
        </w:rPr>
        <w:t xml:space="preserve">quanto e onde investir em TI</w:t>
      </w:r>
      <w:r>
        <w:t xml:space="preserve">, incluindo técnicas de aprovação e justificativa de projetos. Perguntas típicas: Quais mudanças de processo são estrategicamente mais importantes? Como está distribuído o portfólio atual de TI e ele é coerente com os objetivos estratégicos? Qual a importância relativa dos investimentos corporativos frente aos das unidades de negócio? Qual o equilíbrio certo entre projetos top-down e bottom-up, para balancear padronização e inovação?</w:t>
      </w:r>
    </w:p>
    <w:p>
      <w:pPr>
        <w:pStyle w:val="Heading3"/>
        <w:spacing w:after="120" w:before="220"/>
      </w:pPr>
      <w:r>
        <w:rPr>
          <w:b/>
          <w:bCs/>
          <w:color w:val="595959"/>
          <w:sz w:val="23"/>
          <w:szCs w:val="23"/>
        </w:rPr>
        <w:t xml:space="preserve">A “governança em uma página”</w:t>
      </w:r>
    </w:p>
    <w:p>
      <w:pPr>
        <w:spacing w:after="140" w:line="276"/>
      </w:pPr>
      <w:r>
        <w:t xml:space="preserve">Essas cinco decisões formam as </w:t>
      </w:r>
      <w:r>
        <w:rPr>
          <w:b/>
          <w:bCs/>
        </w:rPr>
        <w:t xml:space="preserve">colunas</w:t>
      </w:r>
      <w:r>
        <w:t xml:space="preserve"> de uma matriz. As </w:t>
      </w:r>
      <w:r>
        <w:rPr>
          <w:b/>
          <w:bCs/>
        </w:rPr>
        <w:t xml:space="preserve">linhas</w:t>
      </w:r>
      <w:r>
        <w:t xml:space="preserve"> são os seis </w:t>
      </w:r>
      <w:r>
        <w:rPr>
          <w:b/>
          <w:bCs/>
        </w:rPr>
        <w:t xml:space="preserve">arquétipos de tomada de decisão</w:t>
      </w:r>
      <w:r>
        <w:t xml:space="preserve">, listados do mais centralizado para o menos centralizado: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Arquétipo</w:t>
            </w:r>
          </w:p>
        </w:tc>
        <w:tc>
          <w:tcPr>
            <w:tcW w:type="dxa" w:w="71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decide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1. Monarquia de negócio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Um executivo sênior ou um grupo de executivos seniores, às vezes incluindo o CIO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 Monarquia de TI</w:t>
            </w:r>
          </w:p>
        </w:tc>
        <w:tc>
          <w:tcPr>
            <w:tcW w:type="dxa" w:w="71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Executivos de TI, individualmente ou em grupo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 Federal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Executivos de nível C e representantes de negócio de todos os grupos operacionais, podendo incluir a TI (equivale ao governo central e os estados trabalhando juntos)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4. Duopólio de TI</w:t>
            </w:r>
          </w:p>
        </w:tc>
        <w:tc>
          <w:tcPr>
            <w:tcW w:type="dxa" w:w="71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Decisão a duas partes, envolvendo executivos de TI e um grupo de líderes de negócio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5. Feudal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Líderes de unidade de negócio ou de processo decidindo separadamente conforme as necessidades das suas áreas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6. Anarquia</w:t>
            </w:r>
          </w:p>
        </w:tc>
        <w:tc>
          <w:tcPr>
            <w:tcW w:type="dxa" w:w="71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Cada usuário individual ou pequeno grupo decidindo por conta própria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Cruzando as 5 decisões com os 6 arquétipos, chega-se à </w:t>
      </w:r>
      <w:r>
        <w:rPr>
          <w:b/>
          <w:bCs/>
        </w:rPr>
        <w:t xml:space="preserve">matriz 5x6</w:t>
      </w:r>
      <w:r>
        <w:t xml:space="preserve"> que dá nome ao artigo: a “governança de TI em uma página”. Ela permite </w:t>
      </w:r>
      <w:r>
        <w:rPr>
          <w:b/>
          <w:bCs/>
        </w:rPr>
        <w:t xml:space="preserve">especificar, analisar e comunicar</w:t>
      </w:r>
      <w:r>
        <w:t xml:space="preserve"> onde cada decisão de TI é tomada. É comum também separar, em cada célula, quem dá </w:t>
      </w:r>
      <w:r>
        <w:rPr>
          <w:b/>
          <w:bCs/>
        </w:rPr>
        <w:t xml:space="preserve">entrada (input)</w:t>
      </w:r>
      <w:r>
        <w:t xml:space="preserve"> e quem de fato </w:t>
      </w:r>
      <w:r>
        <w:rPr>
          <w:b/>
          <w:bCs/>
        </w:rPr>
        <w:t xml:space="preserve">decide</w:t>
      </w:r>
      <w:r>
        <w:t xml:space="preserve"> — como no exemplo da Carlson Companies.</w:t>
      </w:r>
    </w:p>
    <w:p>
      <w:pPr>
        <w:spacing w:after="140" w:line="276"/>
      </w:pPr>
      <w:r>
        <w:t xml:space="preserve">Exemplo da </w:t>
      </w:r>
      <w:r>
        <w:rPr>
          <w:b/>
          <w:bCs/>
        </w:rPr>
        <w:t xml:space="preserve">UPS</w:t>
      </w:r>
      <w:r>
        <w:t xml:space="preserve">: um subconjunto da alta direção responde por princípios e investimento (monarquia de negócio); a equipe do CIO responde por arquitetura e infraestrutura (monarquia de TI); os líderes de unidade e quatro gestores de processos corporativos respondem pelas necessidades de aplicações (feudal). Um arranjo claro e relativamente centralizado.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f) Por que não basta simplesmente criar um comitê de TI para que exista Governança de TI?</w:t>
      </w:r>
    </w:p>
    <w:p>
      <w:pPr>
        <w:spacing w:after="140" w:line="276"/>
      </w:pPr>
      <w:r>
        <w:t xml:space="preserve">Porque </w:t>
      </w:r>
      <w:r>
        <w:rPr>
          <w:b/>
          <w:bCs/>
        </w:rPr>
        <w:t xml:space="preserve">um comitê é apenas um mecanismo</w:t>
      </w:r>
      <w:r>
        <w:t xml:space="preserve">, e governança é um </w:t>
      </w:r>
      <w:r>
        <w:rPr>
          <w:b/>
          <w:bCs/>
        </w:rPr>
        <w:t xml:space="preserve">sistema coordenado</w:t>
      </w:r>
      <w:r>
        <w:t xml:space="preserve"> de mecanismos ancorado num desenho consciente de direitos de decisão e responsabilidades. O artigo é explícito: para ser eficaz, a governança de TI </w:t>
      </w:r>
      <w:r>
        <w:rPr>
          <w:b/>
          <w:bCs/>
        </w:rPr>
        <w:t xml:space="preserve">deve ser ativamente desenhada, e não o resultado de mecanismos isolados</w:t>
      </w:r>
      <w:r>
        <w:t xml:space="preserve"> (comitê diretivo, escritório de arquitetura de TI, acordos de nível de serviço) implementados em momentos diferentes para responder ao desafio do momento.</w:t>
      </w:r>
    </w:p>
    <w:p>
      <w:pPr>
        <w:spacing w:after="140" w:line="276"/>
      </w:pPr>
      <w:r>
        <w:t xml:space="preserve">Os motivos, em detalhe:</w:t>
      </w:r>
    </w:p>
    <w:p>
      <w:pPr>
        <w:spacing w:after="140" w:line="276"/>
      </w:pPr>
      <w:r>
        <w:rPr>
          <w:b/>
          <w:bCs/>
        </w:rPr>
        <w:t xml:space="preserve">1. Um comitê sozinho não responde às perguntas essenciais.</w:t>
      </w:r>
      <w:r>
        <w:t xml:space="preserve"> Criar um comitê não define, por si só, quem decide princípios, arquitetura, infraestrutura, aplicações e investimento, nem quem </w:t>
      </w:r>
      <w:r>
        <w:rPr>
          <w:b/>
          <w:bCs/>
        </w:rPr>
        <w:t xml:space="preserve">responde</w:t>
      </w:r>
      <w:r>
        <w:t xml:space="preserve"> pelos resultados de cada um desses domínios. Sem preencher a matriz, o comitê vira mais um fórum de discussão sem accountability.</w:t>
      </w:r>
    </w:p>
    <w:p>
      <w:pPr>
        <w:spacing w:after="140" w:line="276"/>
      </w:pPr>
      <w:r>
        <w:rPr>
          <w:b/>
          <w:bCs/>
        </w:rPr>
        <w:t xml:space="preserve">2. São necessários três tipos de mecanismos, não um.</w:t>
      </w:r>
      <w:r>
        <w:t xml:space="preserve"> O artigo diz que as organizações desenham </w:t>
      </w:r>
      <w:r>
        <w:rPr>
          <w:b/>
          <w:bCs/>
        </w:rPr>
        <w:t xml:space="preserve">três tipos</w:t>
      </w:r>
      <w:r>
        <w:t xml:space="preserve"> de mecanismos de governança, e todos precisam existir e estar coordenados: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Estruturas de tomada de decisão</w:t>
      </w:r>
      <w:r>
        <w:t xml:space="preserve"> — os comitês e papéis organizacionais que alocam as responsabilidades de decisão conforme os arquétipos pretendidos. (É aqui, e só aqui, que o comitê de TI se encaixa.)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Processos de alinhamento</w:t>
      </w:r>
      <w:r>
        <w:t xml:space="preserve"> — as técnicas que garantem envolvimento amplo: processo de proposta de investimento, processo de exceção à arquitetura, SLAs, chargeback, acompanhamento de projetos e acompanhamento formal do valor de negócio gerado pela TI.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Comunicações formais</w:t>
      </w:r>
      <w:r>
        <w:t xml:space="preserve"> — os meios de “espalhar a palavra” sobre as decisões, os processos e os comportamentos desejáveis: anúncios da alta gestão, comitês formais, escritório do CIO ou de governança de TI, portais web e até o trabalho individual com quem não adere. O artigo registra que </w:t>
      </w:r>
      <w:r>
        <w:rPr>
          <w:b/>
          <w:bCs/>
        </w:rPr>
        <w:t xml:space="preserve">quanto mais a gestão comunicava formalmente a existência dos mecanismos, mais eficaz era a governança</w:t>
      </w:r>
      <w:r>
        <w:t xml:space="preserve">.</w:t>
      </w:r>
    </w:p>
    <w:p>
      <w:pPr>
        <w:spacing w:after="140" w:line="276"/>
      </w:pPr>
      <w:r>
        <w:t xml:space="preserve">O exemplo da </w:t>
      </w:r>
      <w:r>
        <w:rPr>
          <w:b/>
          <w:bCs/>
        </w:rPr>
        <w:t xml:space="preserve">UPS</w:t>
      </w:r>
      <w:r>
        <w:t xml:space="preserve"> ilustra bem: não foi </w:t>
      </w:r>
      <w:r>
        <w:rPr>
          <w:i/>
          <w:iCs/>
        </w:rPr>
        <w:t xml:space="preserve">um</w:t>
      </w:r>
      <w:r>
        <w:t xml:space="preserve"> comitê, foram </w:t>
      </w:r>
      <w:r>
        <w:rPr>
          <w:b/>
          <w:bCs/>
        </w:rPr>
        <w:t xml:space="preserve">quatro mecanismos coordenados</w:t>
      </w:r>
      <w:r>
        <w:t xml:space="preserve"> — (a) um comitê diretivo de TI com quatro altos executivos, responsável por princípios e investimento; (b) um comitê de governança de TI com executivos seniores de TI, responsável pelas decisões-chave de arquitetura; (c) um processo formal de charter, que filtra todas as propostas de projeto de TI da organização e mantém só as mais alinhadas aos objetivos estratégicos; e (d) um </w:t>
      </w:r>
      <w:r>
        <w:rPr>
          <w:b/>
          <w:bCs/>
        </w:rPr>
        <w:t xml:space="preserve">processo de escalonamento</w:t>
      </w:r>
      <w:r>
        <w:t xml:space="preserve"> para tratar exceções aos padrões de arquitetura no nível organizacional adequado.</w:t>
      </w:r>
    </w:p>
    <w:p>
      <w:pPr>
        <w:spacing w:after="140" w:line="276"/>
      </w:pPr>
      <w:r>
        <w:rPr>
          <w:b/>
          <w:bCs/>
        </w:rPr>
        <w:t xml:space="preserve">3. Mecanismo isolado pode produzir o efeito contrário.</w:t>
      </w:r>
      <w:r>
        <w:t xml:space="preserve"> É exatamente a lição do caso da empresa de transportes descrito no item (c): existia um mecanismo (o chargeback), mas sem um desenho coerente de responsabilidades ele gerou gasto total maior, perda de integridade dos dados e piora no atendimento.</w:t>
      </w:r>
    </w:p>
    <w:p>
      <w:pPr>
        <w:spacing w:after="140" w:line="276"/>
      </w:pPr>
      <w:r>
        <w:rPr>
          <w:b/>
          <w:bCs/>
        </w:rPr>
        <w:t xml:space="preserve">4. Um comitê não garante que as pessoas saibam que ele existe.</w:t>
      </w:r>
      <w:r>
        <w:t xml:space="preserve"> Se só 38% dos gestores seniores sabem como a TI é governada, e esse conhecimento é o melhor preditor de eficácia, então </w:t>
      </w:r>
      <w:r>
        <w:rPr>
          <w:b/>
          <w:bCs/>
        </w:rPr>
        <w:t xml:space="preserve">comunicar</w:t>
      </w:r>
      <w:r>
        <w:t xml:space="preserve"> é parte constitutiva da governança, não um detalhe posterior. Uma grande barreira à governança eficaz é justamente a falta de entendimento sobre como as decisões são tomadas.</w:t>
      </w:r>
    </w:p>
    <w:p>
      <w:pPr>
        <w:spacing w:after="140" w:line="276"/>
      </w:pPr>
      <w:r>
        <w:rPr>
          <w:b/>
          <w:bCs/>
        </w:rPr>
        <w:t xml:space="preserve">5. O comitê precisa ser o certo para aquela organização.</w:t>
      </w:r>
      <w:r>
        <w:t xml:space="preserve"> Como não existe um único melhor modelo, o desenho eficaz depende dos </w:t>
      </w:r>
      <w:r>
        <w:rPr>
          <w:b/>
          <w:bCs/>
        </w:rPr>
        <w:t xml:space="preserve">objetivos estratégicos</w:t>
      </w:r>
      <w:r>
        <w:t xml:space="preserve"> e da </w:t>
      </w:r>
      <w:r>
        <w:rPr>
          <w:b/>
          <w:bCs/>
        </w:rPr>
        <w:t xml:space="preserve">estrutura organizacional</w:t>
      </w:r>
      <w:r>
        <w:t xml:space="preserve"> da empresa. Um comitê centralizado imposto a uma organização que compete por crescimento e inovação local pode sufocar exatamente o comportamento que ela precisa incentivar.</w:t>
      </w:r>
    </w:p>
    <w:p>
      <w:pPr>
        <w:spacing w:after="140" w:line="276"/>
      </w:pPr>
      <w:r>
        <w:rPr>
          <w:b/>
          <w:bCs/>
        </w:rPr>
        <w:t xml:space="preserve">6. A governança é aprendizado e precisa ser revista — mas não o tempo todo.</w:t>
      </w:r>
      <w:r>
        <w:t xml:space="preserve"> O caso da </w:t>
      </w:r>
      <w:r>
        <w:rPr>
          <w:b/>
          <w:bCs/>
        </w:rPr>
        <w:t xml:space="preserve">Dow Corning</w:t>
      </w:r>
      <w:r>
        <w:t xml:space="preserve"> mostra que o comitê executivo se reuniu regularmente por vários anos para redefinir o papel da TI, articular o papel do CIO, estabelecer princípios de arquitetura e gerir prioridades de investimento; só </w:t>
      </w:r>
      <w:r>
        <w:rPr>
          <w:b/>
          <w:bCs/>
        </w:rPr>
        <w:t xml:space="preserve">depois</w:t>
      </w:r>
      <w:r>
        <w:t xml:space="preserve"> que a TI se consolidou como função-chave é que a responsabilidade foi passada a um subconjunto menor do comitê executivo. Ou seja, o formato do comitê acompanhou a maturidade. E o artigo observa que empresas com governança eficaz mudavam algum aspecto da governança cerca de </w:t>
      </w:r>
      <w:r>
        <w:rPr>
          <w:b/>
          <w:bCs/>
        </w:rPr>
        <w:t xml:space="preserve">uma vez por ano</w:t>
      </w:r>
      <w:r>
        <w:t xml:space="preserve">, enquanto as de governança menos eficaz mudavam </w:t>
      </w:r>
      <w:r>
        <w:rPr>
          <w:b/>
          <w:bCs/>
        </w:rPr>
        <w:t xml:space="preserve">até três vezes por ano</w:t>
      </w:r>
      <w:r>
        <w:t xml:space="preserve"> — trocar de comitê à toa é sintoma de problema, não solução.</w:t>
      </w:r>
    </w:p>
    <w:p>
      <w:pPr>
        <w:pStyle w:val="Heading3"/>
        <w:spacing w:after="120" w:before="220"/>
      </w:pPr>
      <w:r>
        <w:rPr>
          <w:b/>
          <w:bCs/>
          <w:color w:val="595959"/>
          <w:sz w:val="23"/>
          <w:szCs w:val="23"/>
        </w:rPr>
        <w:t xml:space="preserve">Os quatro passos recomendados pelos autores</w:t>
      </w:r>
    </w:p>
    <w:p>
      <w:pPr>
        <w:spacing w:after="140" w:line="276"/>
      </w:pPr>
      <w:r>
        <w:t xml:space="preserve">Para fechar: em vez de “criar um comitê”, o artigo recomenda desenhar a governança em quatro passos: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Identificar as necessidades de sinergia e autonomia</w:t>
      </w:r>
      <w:r>
        <w:t xml:space="preserve"> da organização, avaliando de forma realista tanto os benefícios quanto os custos das sinergias;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Estabelecer o papel da estrutura organizacional</w:t>
      </w:r>
      <w:r>
        <w:t xml:space="preserve"> — declarar primeiro a estrutura, reconhecendo suas limitações e sua instabilidade;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Identificar os comportamentos desejáveis relacionados à TI que ficam fora do alcance da estrutura</w:t>
      </w:r>
      <w:r>
        <w:t xml:space="preserve"> — são esses que os mecanismos de governança precisam induzir, evitando reestruturações a cada mudança de prioridade;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Desenhar conscientemente a governança de TI em uma página</w:t>
      </w:r>
      <w:r>
        <w:t xml:space="preserve"> — primeiro os arranjos (a matriz), depois os mecanismos que vão implementá-los.</w:t>
      </w:r>
    </w:p>
    <w:p>
      <w:pPr>
        <w:pBdr>
          <w:left w:val="single" w:color="BFBFBF" w:sz="12" w:space="10"/>
        </w:pBdr>
        <w:spacing w:after="140" w:line="264"/>
        <w:ind w:left="340"/>
      </w:pPr>
      <w:r>
        <w:rPr>
          <w:i/>
          <w:iCs/>
          <w:color w:val="595959"/>
          <w:sz w:val="20"/>
          <w:szCs w:val="20"/>
        </w:rPr>
        <w:t xml:space="preserve">“Governança de TI eficaz não acontece acidentalmente.” — Weill &amp; Ross (2004)</w:t>
      </w: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2"/>
          <w:szCs w:val="32"/>
        </w:rPr>
        <w:t xml:space="preserve">Questão 2 — Síntese do artigo “Governança digital: uma estratégia para o sucesso da transformação digital na educação pública federal”</w:t>
      </w:r>
    </w:p>
    <w:p>
      <w:pPr>
        <w:pBdr>
          <w:left w:val="single" w:color="BFBFBF" w:sz="12" w:space="10"/>
        </w:pBdr>
        <w:spacing w:after="140" w:line="264"/>
        <w:ind w:left="340"/>
      </w:pPr>
      <w:r>
        <w:rPr>
          <w:i/>
          <w:iCs/>
          <w:color w:val="595959"/>
          <w:sz w:val="20"/>
          <w:szCs w:val="20"/>
        </w:rPr>
        <w:t xml:space="preserve">CARDOSO, Fabiana Ferreira; MOREIRA, Kleyton Matos; PARENTE, Ronaldo Vasconcelos. Governança digital: uma estratégia para o sucesso da transformação digital na educação pública federal. Rev. Sítio Novo, Palmas, v. 9, e1795, 2025. DOI: 10.47236/2594-7036.2025.v9.1795.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1. Problema e contexto</w:t>
      </w:r>
    </w:p>
    <w:p>
      <w:pPr>
        <w:spacing w:after="140" w:line="276"/>
      </w:pPr>
      <w:r>
        <w:t xml:space="preserve">O artigo trata da </w:t>
      </w:r>
      <w:r>
        <w:rPr>
          <w:b/>
          <w:bCs/>
        </w:rPr>
        <w:t xml:space="preserve">maturidade em governança digital (GD) como fator crítico da transformação digital nas Instituições Federais de Ensino (IFEs)</w:t>
      </w:r>
      <w:r>
        <w:t xml:space="preserve">. O problema é a baixa maturidade da governança de TI no setor público, agravada nas IFEs pela </w:t>
      </w:r>
      <w:r>
        <w:rPr>
          <w:b/>
          <w:bCs/>
        </w:rPr>
        <w:t xml:space="preserve">descentralização multicampi</w:t>
      </w:r>
      <w:r>
        <w:t xml:space="preserve">, pelas </w:t>
      </w:r>
      <w:r>
        <w:rPr>
          <w:b/>
          <w:bCs/>
        </w:rPr>
        <w:t xml:space="preserve">restrições orçamentárias</w:t>
      </w:r>
      <w:r>
        <w:t xml:space="preserve"> e pela </w:t>
      </w:r>
      <w:r>
        <w:rPr>
          <w:b/>
          <w:bCs/>
        </w:rPr>
        <w:t xml:space="preserve">escassez de profissionais qualificados</w:t>
      </w:r>
      <w:r>
        <w:t xml:space="preserve">.</w:t>
      </w:r>
    </w:p>
    <w:p>
      <w:pPr>
        <w:spacing w:after="140" w:line="276"/>
      </w:pPr>
      <w:r>
        <w:t xml:space="preserve">O diagnóstico não é uma impressão dos autores: o </w:t>
      </w:r>
      <w:r>
        <w:rPr>
          <w:b/>
          <w:bCs/>
        </w:rPr>
        <w:t xml:space="preserve">IESGO 2024</w:t>
      </w:r>
      <w:r>
        <w:t xml:space="preserve">, do TCU, mostrou que, das </w:t>
      </w:r>
      <w:r>
        <w:rPr>
          <w:b/>
          <w:bCs/>
        </w:rPr>
        <w:t xml:space="preserve">387 organizações avaliadas, quase metade está em estágio inicial de maturidade</w:t>
      </w:r>
      <w:r>
        <w:t xml:space="preserve"> nas práticas de governança de TI. Do outro lado da equação está a exigência normativa — o Sistema Nacional para a Transformação Digital (2018) e, sobretudo, a </w:t>
      </w:r>
      <w:r>
        <w:rPr>
          <w:b/>
          <w:bCs/>
        </w:rPr>
        <w:t xml:space="preserve">Estratégia Federal de Governo Digital (EFGD) 2024–2027</w:t>
      </w:r>
      <w:r>
        <w:t xml:space="preserve">, instituída pelo Decreto nº 12.198/2024, com </w:t>
      </w:r>
      <w:r>
        <w:rPr>
          <w:b/>
          <w:bCs/>
        </w:rPr>
        <w:t xml:space="preserve">6 princípios, 16 objetivos e 93 iniciativas</w:t>
      </w:r>
      <w:r>
        <w:t xml:space="preserve">. Há, portanto, uma distância entre o que se cobra das IFEs e a maturidade que elas têm.</w:t>
      </w:r>
    </w:p>
    <w:p>
      <w:pPr>
        <w:spacing w:after="140" w:line="276"/>
      </w:pPr>
      <w:r>
        <w:t xml:space="preserve">Os autores identificam ainda uma </w:t>
      </w:r>
      <w:r>
        <w:rPr>
          <w:b/>
          <w:bCs/>
        </w:rPr>
        <w:t xml:space="preserve">lacuna de pesquisa</w:t>
      </w:r>
      <w:r>
        <w:t xml:space="preserve">: embora existam frameworks consolidados (COBIT 2019, ITIL 4, ABNT NBR ISO/IEC 38500), faltam estudos que os </w:t>
      </w:r>
      <w:r>
        <w:rPr>
          <w:b/>
          <w:bCs/>
        </w:rPr>
        <w:t xml:space="preserve">adaptem às especificidades das IFEs</w:t>
      </w:r>
      <w:r>
        <w:t xml:space="preserve">. Aplicá-los isoladamente gera sobreposições: os três tratam de segurança da informação e gestão de riscos, criando redundâncias caras para instituições com poucos recursos.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2. Objetivo</w:t>
      </w:r>
    </w:p>
    <w:p>
      <w:pPr>
        <w:spacing w:after="140" w:line="276"/>
      </w:pPr>
      <w:r>
        <w:t xml:space="preserve">Analisar criticamente a </w:t>
      </w:r>
      <w:r>
        <w:rPr>
          <w:b/>
          <w:bCs/>
        </w:rPr>
        <w:t xml:space="preserve">implementação de um modelo de governança digital adaptado ao setor educacional público federal</w:t>
      </w:r>
      <w:r>
        <w:t xml:space="preserve"> e sua contribuição para elevar a maturidade das IFEs. A pergunta de pesquisa: como as IFEs brasileiras podem elevar seu nível de maturidade em governança digital?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3. Metodologia</w:t>
      </w:r>
    </w:p>
    <w:p>
      <w:pPr>
        <w:spacing w:after="140" w:line="276"/>
      </w:pPr>
      <w:r>
        <w:t xml:space="preserve">Pesquisa </w:t>
      </w:r>
      <w:r>
        <w:rPr>
          <w:b/>
          <w:bCs/>
        </w:rPr>
        <w:t xml:space="preserve">aplicada, qualitativa</w:t>
      </w:r>
      <w:r>
        <w:t xml:space="preserve">, conduzida pelo método </w:t>
      </w:r>
      <w:r>
        <w:rPr>
          <w:b/>
          <w:bCs/>
        </w:rPr>
        <w:t xml:space="preserve">Design Science Research (DSR)</w:t>
      </w:r>
      <w:r>
        <w:t xml:space="preserve"> de Peffers (2007), por meio de um </w:t>
      </w:r>
      <w:r>
        <w:rPr>
          <w:b/>
          <w:bCs/>
        </w:rPr>
        <w:t xml:space="preserve">estudo de caso longitudinal (2018–2024)</w:t>
      </w:r>
      <w:r>
        <w:t xml:space="preserve"> em uma IFE multicampi da </w:t>
      </w:r>
      <w:r>
        <w:rPr>
          <w:b/>
          <w:bCs/>
        </w:rPr>
        <w:t xml:space="preserve">região Norte</w:t>
      </w:r>
      <w:r>
        <w:t xml:space="preserve">, escolhida por conveniência. O DSR percorreu suas seis etapas: identificação do problema, objetivos da solução, design e desenvolvimento, demonstração, avaliação e comunicação.</w:t>
      </w:r>
    </w:p>
    <w:p>
      <w:pPr>
        <w:spacing w:after="140" w:line="276"/>
      </w:pPr>
      <w:r>
        <w:t xml:space="preserve">A coleta usou </w:t>
      </w:r>
      <w:r>
        <w:rPr>
          <w:b/>
          <w:bCs/>
        </w:rPr>
        <w:t xml:space="preserve">triangulação metodológica</w:t>
      </w:r>
      <w:r>
        <w:t xml:space="preserve">: análise documental (normativos, relatórios de auditoria, planos estratégicos), </w:t>
      </w:r>
      <w:r>
        <w:rPr>
          <w:b/>
          <w:bCs/>
        </w:rPr>
        <w:t xml:space="preserve">entrevistas semiestruturadas com 12 gestores de TI</w:t>
      </w:r>
      <w:r>
        <w:t xml:space="preserve"> e </w:t>
      </w:r>
      <w:r>
        <w:rPr>
          <w:b/>
          <w:bCs/>
        </w:rPr>
        <w:t xml:space="preserve">grupo focal com 8 especialistas</w:t>
      </w:r>
      <w:r>
        <w:t xml:space="preserve"> em governança digital — todos com no mínimo cinco anos de experiência. Os dados passaram por </w:t>
      </w:r>
      <w:r>
        <w:rPr>
          <w:b/>
          <w:bCs/>
        </w:rPr>
        <w:t xml:space="preserve">análise de conteúdo temática</w:t>
      </w:r>
      <w:r>
        <w:t xml:space="preserve"> (Bardin, 2016) e foram complementados por </w:t>
      </w:r>
      <w:r>
        <w:rPr>
          <w:b/>
          <w:bCs/>
        </w:rPr>
        <w:t xml:space="preserve">indicadores quantitativos do TCU — o iGovTI e o iGestTI</w:t>
      </w:r>
      <w:r>
        <w:t xml:space="preserve"> —, medidos em três ciclos: </w:t>
      </w:r>
      <w:r>
        <w:rPr>
          <w:b/>
          <w:bCs/>
        </w:rPr>
        <w:t xml:space="preserve">2018, 2021 e 2024</w:t>
      </w:r>
      <w:r>
        <w:t xml:space="preserve">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4. O modelo proposto</w:t>
      </w:r>
    </w:p>
    <w:p>
      <w:pPr>
        <w:spacing w:after="140" w:line="276"/>
      </w:pPr>
      <w:r>
        <w:t xml:space="preserve">O diagnóstico inicial apontou três eixos de atuação: </w:t>
      </w:r>
      <w:r>
        <w:rPr>
          <w:b/>
          <w:bCs/>
        </w:rPr>
        <w:t xml:space="preserve">estrutura organizacional</w:t>
      </w:r>
      <w:r>
        <w:t xml:space="preserve">, </w:t>
      </w:r>
      <w:r>
        <w:rPr>
          <w:b/>
          <w:bCs/>
        </w:rPr>
        <w:t xml:space="preserve">padronização de políticas, normas e processos</w:t>
      </w:r>
      <w:r>
        <w:t xml:space="preserve"> e </w:t>
      </w:r>
      <w:r>
        <w:rPr>
          <w:b/>
          <w:bCs/>
        </w:rPr>
        <w:t xml:space="preserve">capacitação técnica contínua</w:t>
      </w:r>
      <w:r>
        <w:t xml:space="preserve">.</w:t>
      </w:r>
    </w:p>
    <w:p>
      <w:pPr>
        <w:spacing w:after="140" w:line="276"/>
      </w:pPr>
      <w:r>
        <w:t xml:space="preserve">Sobre a articulação dos frameworks (Santos e Moura, 2024): </w:t>
      </w:r>
      <w:r>
        <w:rPr>
          <w:b/>
          <w:bCs/>
        </w:rPr>
        <w:t xml:space="preserve">o COBIT define “o que” governar, o ITIL 4 descreve “como” operacionalizar os serviços e a ISO/IEC 38500 estabelece “por que” governar.</w:t>
      </w:r>
      <w:r>
        <w:t xml:space="preserve"> O modelo é estruturado em </w:t>
      </w:r>
      <w:r>
        <w:rPr>
          <w:b/>
          <w:bCs/>
        </w:rPr>
        <w:t xml:space="preserve">seis dimensões estratégicas</w:t>
      </w:r>
      <w:r>
        <w:t xml:space="preserve"> — responsabilidade, estratégia, aquisição, desempenho, conformidade e comportamento humano — e apoiado nos eixos de pessoas, processos, organização, comunicação, legislação e tecnologia.</w:t>
      </w:r>
    </w:p>
    <w:p>
      <w:pPr>
        <w:spacing w:after="140" w:line="276"/>
      </w:pPr>
      <w:r>
        <w:t xml:space="preserve">No padrão do COBIT, separa dois domínios: </w:t>
      </w:r>
      <w:r>
        <w:rPr>
          <w:b/>
          <w:bCs/>
        </w:rPr>
        <w:t xml:space="preserve">governança</w:t>
      </w:r>
      <w:r>
        <w:t xml:space="preserve"> (avaliar, dirigir e monitorar, a cargo do corpo diretivo) e </w:t>
      </w:r>
      <w:r>
        <w:rPr>
          <w:b/>
          <w:bCs/>
        </w:rPr>
        <w:t xml:space="preserve">gestão</w:t>
      </w:r>
      <w:r>
        <w:t xml:space="preserve"> (alinhar, planejar e organizar; construir, adquirir e implementar; entregar, serviço e suporte; monitorar, avaliar e analisar), tudo dentro de um </w:t>
      </w:r>
      <w:r>
        <w:rPr>
          <w:b/>
          <w:bCs/>
        </w:rPr>
        <w:t xml:space="preserve">ciclo PDCA</w:t>
      </w:r>
      <w:r>
        <w:t xml:space="preserve">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5. Resultados</w:t>
      </w:r>
    </w:p>
    <w:p>
      <w:pPr>
        <w:spacing w:after="140" w:line="276"/>
      </w:pPr>
      <w:r>
        <w:t xml:space="preserve">A implantação foi progressiva: em </w:t>
      </w:r>
      <w:r>
        <w:rPr>
          <w:b/>
          <w:bCs/>
        </w:rPr>
        <w:t xml:space="preserve">2018</w:t>
      </w:r>
      <w:r>
        <w:t xml:space="preserve"> a Diretoria de TI tornou-se setor sistêmico no gabinete do reitor; em </w:t>
      </w:r>
      <w:r>
        <w:rPr>
          <w:b/>
          <w:bCs/>
        </w:rPr>
        <w:t xml:space="preserve">2019</w:t>
      </w:r>
      <w:r>
        <w:t xml:space="preserve"> vieram a Coordenação de Governança de TI e o </w:t>
      </w:r>
      <w:r>
        <w:rPr>
          <w:b/>
          <w:bCs/>
        </w:rPr>
        <w:t xml:space="preserve">Comitê Gestor de TI (CGTI)</w:t>
      </w:r>
      <w:r>
        <w:t xml:space="preserve">; em </w:t>
      </w:r>
      <w:r>
        <w:rPr>
          <w:b/>
          <w:bCs/>
        </w:rPr>
        <w:t xml:space="preserve">2020</w:t>
      </w:r>
      <w:r>
        <w:t xml:space="preserve">, o PDTIC 2020–2024; em </w:t>
      </w:r>
      <w:r>
        <w:rPr>
          <w:b/>
          <w:bCs/>
        </w:rPr>
        <w:t xml:space="preserve">2021</w:t>
      </w:r>
      <w:r>
        <w:t xml:space="preserve">, a política e o modelo de GD, os frameworks e a capacitação via RNP e ENAP; em </w:t>
      </w:r>
      <w:r>
        <w:rPr>
          <w:b/>
          <w:bCs/>
        </w:rPr>
        <w:t xml:space="preserve">2023</w:t>
      </w:r>
      <w:r>
        <w:t xml:space="preserve">, o Programa de Privacidade e Segurança da Informação; e em </w:t>
      </w:r>
      <w:r>
        <w:rPr>
          <w:b/>
          <w:bCs/>
        </w:rPr>
        <w:t xml:space="preserve">2024</w:t>
      </w:r>
      <w:r>
        <w:t xml:space="preserve">, a integração dos planos e a adesão à nova EFGD.</w:t>
      </w:r>
    </w:p>
    <w:p>
      <w:pPr>
        <w:spacing w:after="140" w:line="276"/>
      </w:pPr>
      <w:r>
        <w:t xml:space="preserve">Os índices do TCU comprovam a evolução: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2018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iGovTI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28%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53,4%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75,5%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iGestTI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63,0%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88,5%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A instituição passou do nível </w:t>
      </w:r>
      <w:r>
        <w:rPr>
          <w:b/>
          <w:bCs/>
        </w:rPr>
        <w:t xml:space="preserve">“incipiente” para “aprimorado”</w:t>
      </w:r>
      <w:r>
        <w:t xml:space="preserve">. Um dado adicional reforça o resultado: a execução do plano diretor saltou de </w:t>
      </w:r>
      <w:r>
        <w:rPr>
          <w:b/>
          <w:bCs/>
        </w:rPr>
        <w:t xml:space="preserve">49,37% (PDTI 2015–2019) para 94,38% (PDTIC 2020–2024)</w:t>
      </w:r>
      <w:r>
        <w:t xml:space="preserve"> — a governança não ficou no papel.</w:t>
      </w:r>
    </w:p>
    <w:p>
      <w:pPr>
        <w:spacing w:after="140" w:line="276"/>
      </w:pPr>
      <w:r>
        <w:t xml:space="preserve">Os autores, porém, </w:t>
      </w:r>
      <w:r>
        <w:rPr>
          <w:b/>
          <w:bCs/>
        </w:rPr>
        <w:t xml:space="preserve">não escondem o que não funcionou</w:t>
      </w:r>
      <w:r>
        <w:t xml:space="preserve">: persistem a alta rotatividade de servidores, a escassez de profissionais capacitados, as restrições orçamentárias e a </w:t>
      </w:r>
      <w:r>
        <w:rPr>
          <w:b/>
          <w:bCs/>
        </w:rPr>
        <w:t xml:space="preserve">baixa integração entre os setores administrativos e acadêmicos</w:t>
      </w:r>
      <w:r>
        <w:t xml:space="preserve">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6. Limitações e considerações finais</w:t>
      </w:r>
    </w:p>
    <w:p>
      <w:pPr>
        <w:spacing w:after="140" w:line="276"/>
      </w:pPr>
      <w:r>
        <w:t xml:space="preserve">O estudo reconhece limitações relevantes: </w:t>
      </w:r>
      <w:r>
        <w:rPr>
          <w:b/>
          <w:bCs/>
        </w:rPr>
        <w:t xml:space="preserve">caso único</w:t>
      </w:r>
      <w:r>
        <w:t xml:space="preserve">, com amostra por conveniência numa instituição que </w:t>
      </w:r>
      <w:r>
        <w:rPr>
          <w:b/>
          <w:bCs/>
        </w:rPr>
        <w:t xml:space="preserve">já tinha histórico de iniciativas em GD</w:t>
      </w:r>
      <w:r>
        <w:t xml:space="preserve">; risco de </w:t>
      </w:r>
      <w:r>
        <w:rPr>
          <w:b/>
          <w:bCs/>
        </w:rPr>
        <w:t xml:space="preserve">viés de confirmação</w:t>
      </w:r>
      <w:r>
        <w:t xml:space="preserve"> (participantes interessados em reforçar a eficácia de um modelo que ajudaram a implantar); e ausência de </w:t>
      </w:r>
      <w:r>
        <w:rPr>
          <w:b/>
          <w:bCs/>
        </w:rPr>
        <w:t xml:space="preserve">auditoria externa</w:t>
      </w:r>
      <w:r>
        <w:t xml:space="preserve"> — logo, os achados não são generalizáveis.</w:t>
      </w:r>
    </w:p>
    <w:p>
      <w:pPr>
        <w:spacing w:after="140" w:line="276"/>
      </w:pPr>
      <w:r>
        <w:t xml:space="preserve">As contribuições declaradas são três: </w:t>
      </w:r>
      <w:r>
        <w:rPr>
          <w:b/>
          <w:bCs/>
        </w:rPr>
        <w:t xml:space="preserve">integração estratégica e operacional</w:t>
      </w:r>
      <w:r>
        <w:t xml:space="preserve">, </w:t>
      </w:r>
      <w:r>
        <w:rPr>
          <w:b/>
          <w:bCs/>
        </w:rPr>
        <w:t xml:space="preserve">metodologia empiricamente validada</w:t>
      </w:r>
      <w:r>
        <w:t xml:space="preserve"> e </w:t>
      </w:r>
      <w:r>
        <w:rPr>
          <w:b/>
          <w:bCs/>
        </w:rPr>
        <w:t xml:space="preserve">modelo replicável</w:t>
      </w:r>
      <w:r>
        <w:t xml:space="preserve">. A conclusão central: a maturidade em GD </w:t>
      </w:r>
      <w:r>
        <w:rPr>
          <w:b/>
          <w:bCs/>
        </w:rPr>
        <w:t xml:space="preserve">não evolui de forma linear</w:t>
      </w:r>
      <w:r>
        <w:t xml:space="preserve"> — depende de apoio da alta gestão, da cultura organizacional e das políticas públicas.</w:t>
      </w:r>
    </w:p>
    <w:p>
      <w:pPr>
        <w:pStyle w:val="Heading1"/>
        <w:pageBreakBefore/>
        <w:spacing w:after="200" w:before="0"/>
      </w:pPr>
      <w:r>
        <w:rPr>
          <w:b/>
          <w:bCs/>
          <w:color w:val="1F3864"/>
          <w:sz w:val="32"/>
          <w:szCs w:val="32"/>
        </w:rPr>
        <w:t xml:space="preserve">Apêndice (opcional) — Diálogo entre os dois artigos</w:t>
      </w:r>
    </w:p>
    <w:p>
      <w:pPr>
        <w:pBdr>
          <w:left w:val="single" w:color="BFBFBF" w:sz="12" w:space="10"/>
        </w:pBdr>
        <w:spacing w:after="140" w:line="264"/>
        <w:ind w:left="340"/>
      </w:pPr>
      <w:r>
        <w:rPr>
          <w:i/>
          <w:iCs/>
          <w:color w:val="595959"/>
          <w:sz w:val="20"/>
          <w:szCs w:val="20"/>
        </w:rPr>
        <w:t xml:space="preserve">Seção de leitura própria, fora do limite de 2 páginas da síntese. Pode ser removida antes da entrega.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“Governança eficaz não acontece por acidente.”</w:t>
      </w:r>
      <w:r>
        <w:t xml:space="preserve"> O artigo de Cardoso, Moreira e Parente é um estudo de caso dessa tese no setor público: a maturidade só evoluiu quando a governança foi </w:t>
      </w:r>
      <w:r>
        <w:rPr>
          <w:b/>
          <w:bCs/>
        </w:rPr>
        <w:t xml:space="preserve">desenhada e formalizada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 comitê não veio sozinho — e isso é o ponto.</w:t>
      </w:r>
      <w:r>
        <w:t xml:space="preserve"> O CGTI foi criado em 2019, mas os índices só deslancharam depois de 2021, quando vieram políticas, normas, processos, catálogo de serviços e capacitação. É exatamente o alerta do item (f) da Questão 1: comitê é uma estrutura de decisão, e governança exige também </w:t>
      </w:r>
      <w:r>
        <w:rPr>
          <w:b/>
          <w:bCs/>
        </w:rPr>
        <w:t xml:space="preserve">processos de alinhamento</w:t>
      </w:r>
      <w:r>
        <w:t xml:space="preserve"> e </w:t>
      </w:r>
      <w:r>
        <w:rPr>
          <w:b/>
          <w:bCs/>
        </w:rPr>
        <w:t xml:space="preserve">comunicação formal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Os domínios coincidem.</w:t>
      </w:r>
      <w:r>
        <w:t xml:space="preserve"> “Avaliar, dirigir e monitorar” versus os quatro subdomínios de gestão reproduz a distinção governança × gestão do item (b).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Sinergia versus autonomia, em versão multicampi.</w:t>
      </w:r>
      <w:r>
        <w:t xml:space="preserve"> A “baixa integração entre setores” que o artigo aponta como limitação é o trade-off de Weill &amp; Ross aparecendo como problema prático.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 que muda é o direcionador.</w:t>
      </w:r>
      <w:r>
        <w:t xml:space="preserve"> Em Weill &amp; Ross ele é financeiro (lucro, ativos, crescimento); na IFE é a </w:t>
      </w:r>
      <w:r>
        <w:rPr>
          <w:b/>
          <w:bCs/>
        </w:rPr>
        <w:t xml:space="preserve">missão institucional e a conformidade com a EFGD</w:t>
      </w:r>
      <w:r>
        <w:t xml:space="preserve">. Mudam as métricas — iGovTI e iGestTI no lugar de ROE e ROA —, mas não muda a lógica de desenhar a governança para induzir os comportamentos que o objetivo exige.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02 — Governança de TI</dc:title>
  <dc:creator>Douglas</dc:creator>
  <dc:description>Respostas da Lista 02 da disciplina Governança e Conformidade Tecnológica (JCRGCTC)</dc:description>
  <cp:lastModifiedBy>Un-named</cp:lastModifiedBy>
  <cp:revision>1</cp:revision>
  <dcterms:created xsi:type="dcterms:W3CDTF">2026-09-18T13:37:41.113Z</dcterms:created>
  <dcterms:modified xsi:type="dcterms:W3CDTF">2026-09-18T13:37:41.113Z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