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r>
        <w:rPr>
          <w:rFonts w:ascii="Arial" w:cs="Arial" w:eastAsia="Arial" w:hAnsi="Arial"/>
          <w:color w:val="333333"/>
          <w:sz w:val="24"/>
          <w:szCs w:val="24"/>
        </w:rPr>
        <w:t xml:space="preserve"/>
      </w:r>
    </w:p>
    <w:p>
      <w:pPr>
        <w:spacing w:after="60"/>
        <w:jc w:val="center"/>
      </w:pPr>
      <w:r>
        <w:rPr>
          <w:rFonts w:ascii="Arial" w:cs="Arial" w:eastAsia="Arial" w:hAnsi="Arial"/>
          <w:b/>
          <w:bCs/>
          <w:color w:val="333333"/>
          <w:sz w:val="28"/>
          <w:szCs w:val="28"/>
        </w:rPr>
        <w:t xml:space="preserve">UNIVERSIDAD PRIVADA DOMINGO SAVIO</w:t>
      </w:r>
    </w:p>
    <w:p>
      <w:pPr>
        <w:spacing w:after="60"/>
        <w:jc w:val="center"/>
      </w:pPr>
      <w:r>
        <w:rPr>
          <w:rFonts w:ascii="Arial" w:cs="Arial" w:eastAsia="Arial" w:hAnsi="Arial"/>
          <w:color w:val="333333"/>
          <w:sz w:val="24"/>
          <w:szCs w:val="24"/>
        </w:rPr>
        <w:t xml:space="preserve">Facultad de Ciencias Empresariales</w:t>
      </w:r>
    </w:p>
    <w:p>
      <w:pPr>
        <w:spacing w:after="200"/>
        <w:jc w:val="center"/>
      </w:pPr>
      <w:r>
        <w:rPr>
          <w:rFonts w:ascii="Arial" w:cs="Arial" w:eastAsia="Arial" w:hAnsi="Arial"/>
          <w:color w:val="333333"/>
          <w:sz w:val="24"/>
          <w:szCs w:val="24"/>
        </w:rPr>
        <w:t xml:space="preserve">Carrera de Ingeniería en Sistemas</w:t>
      </w:r>
    </w:p>
    <w:p>
      <w:pPr>
        <w:spacing w:after="100"/>
        <w:jc w:val="center"/>
      </w:pPr>
      <w:r>
        <w:rPr>
          <w:rFonts w:ascii="Arial" w:cs="Arial" w:eastAsia="Arial" w:hAnsi="Arial"/>
          <w:b/>
          <w:bCs/>
          <w:color w:val="1B5E20"/>
          <w:sz w:val="26"/>
          <w:szCs w:val="26"/>
        </w:rPr>
        <w:t xml:space="preserve">PROYECTO SOCIOFORMATIVO</w:t>
      </w:r>
    </w:p>
    <w:p>
      <w:pPr>
        <w:spacing w:after="20"/>
        <w:jc w:val="center"/>
      </w:pPr>
      <w:r>
        <w:rPr>
          <w:rFonts w:ascii="Arial" w:cs="Arial" w:eastAsia="Arial" w:hAnsi="Arial"/>
          <w:b/>
          <w:bCs/>
          <w:color w:val="333333"/>
          <w:sz w:val="24"/>
          <w:szCs w:val="24"/>
        </w:rPr>
        <w:t xml:space="preserve">"PLAN DE NEGOCIO ESCALABLE: NUTRICICLO SCZ —</w:t>
      </w:r>
    </w:p>
    <w:p>
      <w:pPr>
        <w:spacing w:after="20"/>
        <w:jc w:val="center"/>
      </w:pPr>
      <w:r>
        <w:rPr>
          <w:rFonts w:ascii="Arial" w:cs="Arial" w:eastAsia="Arial" w:hAnsi="Arial"/>
          <w:b/>
          <w:bCs/>
          <w:color w:val="333333"/>
          <w:sz w:val="24"/>
          <w:szCs w:val="24"/>
        </w:rPr>
        <w:t xml:space="preserve">BIOFÁBRICA CIRCULAR DE BLOQUES MULTINUTRICIONALES</w:t>
      </w:r>
    </w:p>
    <w:p>
      <w:pPr>
        <w:spacing w:after="200"/>
        <w:jc w:val="center"/>
      </w:pPr>
      <w:r>
        <w:rPr>
          <w:rFonts w:ascii="Arial" w:cs="Arial" w:eastAsia="Arial" w:hAnsi="Arial"/>
          <w:b/>
          <w:bCs/>
          <w:color w:val="333333"/>
          <w:sz w:val="24"/>
          <w:szCs w:val="24"/>
        </w:rPr>
        <w:t xml:space="preserve">CON PROTEÍNA BSF PARA GANADO VACUNO"</w:t>
      </w:r>
    </w:p>
    <w:p>
      <w:pPr>
        <w:spacing w:after="40"/>
        <w:jc w:val="center"/>
      </w:pPr>
      <w:r>
        <w:rPr>
          <w:rFonts w:ascii="Arial" w:cs="Arial" w:eastAsia="Arial" w:hAnsi="Arial"/>
          <w:color w:val="333333"/>
          <w:sz w:val="22"/>
          <w:szCs w:val="22"/>
        </w:rPr>
        <w:t xml:space="preserve">Asignatura: Emprendedurismo</w:t>
      </w:r>
    </w:p>
    <w:p>
      <w:pPr>
        <w:spacing w:after="40"/>
        <w:jc w:val="center"/>
      </w:pPr>
      <w:r>
        <w:rPr>
          <w:rFonts w:ascii="Arial" w:cs="Arial" w:eastAsia="Arial" w:hAnsi="Arial"/>
          <w:color w:val="333333"/>
          <w:sz w:val="22"/>
          <w:szCs w:val="22"/>
        </w:rPr>
        <w:t xml:space="preserve">Módulo: 02 – 2026</w:t>
      </w:r>
    </w:p>
    <w:p>
      <w:pPr>
        <w:spacing w:after="40"/>
        <w:jc w:val="center"/>
      </w:pPr>
      <w:r>
        <w:rPr>
          <w:rFonts w:ascii="Arial" w:cs="Arial" w:eastAsia="Arial" w:hAnsi="Arial"/>
          <w:color w:val="333333"/>
          <w:sz w:val="22"/>
          <w:szCs w:val="22"/>
        </w:rPr>
        <w:t xml:space="preserve">Docente: Msc. Lic. Mary Cruz Sarzuri C.</w:t>
      </w:r>
    </w:p>
    <w:p>
      <w:pPr>
        <w:spacing w:after="40"/>
        <w:jc w:val="center"/>
      </w:pPr>
      <w:r>
        <w:rPr>
          <w:rFonts w:ascii="Arial" w:cs="Arial" w:eastAsia="Arial" w:hAnsi="Arial"/>
          <w:color w:val="333333"/>
          <w:sz w:val="22"/>
          <w:szCs w:val="22"/>
        </w:rPr>
        <w:t xml:space="preserve">Estudiante: Douglas Flor Hernández</w:t>
      </w:r>
    </w:p>
    <w:p>
      <w:pPr>
        <w:spacing w:after="40"/>
        <w:jc w:val="center"/>
      </w:pPr>
      <w:r>
        <w:rPr>
          <w:rFonts w:ascii="Arial" w:cs="Arial" w:eastAsia="Arial" w:hAnsi="Arial"/>
          <w:color w:val="333333"/>
          <w:sz w:val="22"/>
          <w:szCs w:val="22"/>
        </w:rPr>
        <w:t xml:space="preserve">Santa Cruz de la Sierra, Bolivia</w:t>
      </w:r>
    </w:p>
    <w:p>
      <w:pPr>
        <w:spacing w:after="120" w:line="276"/>
        <w:jc w:val="center"/>
      </w:pPr>
      <w:r>
        <w:rPr>
          <w:rFonts w:ascii="Arial" w:cs="Arial" w:eastAsia="Arial" w:hAnsi="Arial"/>
          <w:color w:val="333333"/>
          <w:sz w:val="22"/>
          <w:szCs w:val="22"/>
        </w:rPr>
        <w:t xml:space="preserve">Marzo 2026</w:t>
      </w:r>
    </w:p>
    <w:p>
      <w:r>
        <w:br w:type="page"/>
      </w:r>
    </w:p>
    <w:p>
      <w:pPr>
        <w:pStyle w:val="Heading1"/>
        <w:spacing w:before="240" w:after="200"/>
      </w:pPr>
      <w:r>
        <w:rPr>
          <w:rFonts w:ascii="Arial" w:cs="Arial" w:eastAsia="Arial" w:hAnsi="Arial"/>
          <w:b/>
          <w:bCs/>
          <w:color w:val="1B5E20"/>
          <w:sz w:val="28"/>
          <w:szCs w:val="28"/>
        </w:rPr>
        <w:t xml:space="preserve">RESUMEN</w:t>
      </w:r>
    </w:p>
    <w:p>
      <w:pPr>
        <w:spacing w:after="140" w:line="300"/>
      </w:pPr>
      <w:r>
        <w:rPr>
          <w:rFonts w:ascii="Arial" w:cs="Arial" w:eastAsia="Arial" w:hAnsi="Arial"/>
          <w:color w:val="333333"/>
          <w:sz w:val="24"/>
          <w:szCs w:val="24"/>
        </w:rPr>
        <w:t xml:space="preserve">El presente proyecto socioformativo desarrolla el plan de negocio de NutriCiclo SCZ, una biofábrica circular ubicada en Santa Cruz de la Sierra que transforma residuos contaminantes de mataderos e ingenios azucareros en bloques multinutricionales (BMN) enriquecidos con harina de mosca soldado negra (Hermetia illucens) para ganado vacuno. El objetivo es diseñar un emprendimiento escalable que resuelva simultáneamente tres problemas críticos del departamento: la contaminación hídrica por más de 20.000 toneladas anuales de residuos de matadero sin gestión, la pérdida de peso y producción lechera del ganado durante la sequía (junio-noviembre), y la dependencia de proteína importada de soya para alimentación animal. El desarrollo se realizó bajo el modelo por competencias utilizando metodologías activas: Design Thinking para la ideación, análisis PESTEL para el entorno, modelo Canvas para la estructura de negocio, y las 10 R's de la economía circular como marco de sostenibilidad. Se empleó inteligencia artificial (Claude, Anthropic) como asistente pedagógico para la investigación, análisis financiero y generación de documentos. Los resultados demuestran la viabilidad técnica, económica y ambiental del emprendimiento: inversión de $20.000-35.000 USD, margen bruto de 55-65%, TIR estimada de 40-55%, payback de 14-18 meses, con un ciclo productivo 100% cerrado donde el 74% de la materia prima proviene de residuos industriales reutilizados. Se concluye que NutriCiclo SCZ constituye un modelo replicable de economía circular aplicada al sector pecuario boliviano.</w:t>
      </w:r>
    </w:p>
    <w:p>
      <w:pPr>
        <w:spacing w:after="60"/>
      </w:pPr>
      <w:r>
        <w:rPr>
          <w:rFonts w:ascii="Arial" w:cs="Arial" w:eastAsia="Arial" w:hAnsi="Arial"/>
          <w:color w:val="333333"/>
          <w:sz w:val="24"/>
          <w:szCs w:val="24"/>
        </w:rPr>
        <w:t xml:space="preserve"/>
      </w:r>
    </w:p>
    <w:p>
      <w:pPr>
        <w:spacing w:after="200"/>
      </w:pPr>
      <w:r>
        <w:rPr>
          <w:rFonts w:ascii="Arial" w:cs="Arial" w:eastAsia="Arial" w:hAnsi="Arial"/>
          <w:b/>
          <w:bCs/>
          <w:color w:val="333333"/>
          <w:sz w:val="22"/>
          <w:szCs w:val="22"/>
        </w:rPr>
        <w:t xml:space="preserve">Palabras clave: </w:t>
      </w:r>
      <w:r>
        <w:rPr>
          <w:rFonts w:ascii="Arial" w:cs="Arial" w:eastAsia="Arial" w:hAnsi="Arial"/>
          <w:color w:val="333333"/>
          <w:sz w:val="22"/>
          <w:szCs w:val="22"/>
        </w:rPr>
        <w:t xml:space="preserve">economía circular, bloques multinutricionales, mosca soldado negra, ganadería sostenible, emprendimiento circular</w:t>
      </w:r>
    </w:p>
    <w:p>
      <w:r>
        <w:br w:type="page"/>
      </w:r>
    </w:p>
    <w:p>
      <w:pPr>
        <w:pStyle w:val="Heading1"/>
        <w:spacing w:before="240" w:after="200"/>
      </w:pPr>
      <w:r>
        <w:rPr>
          <w:rFonts w:ascii="Arial" w:cs="Arial" w:eastAsia="Arial" w:hAnsi="Arial"/>
          <w:b/>
          <w:bCs/>
          <w:color w:val="1B5E20"/>
          <w:sz w:val="28"/>
          <w:szCs w:val="28"/>
        </w:rPr>
        <w:t xml:space="preserve">1. INTRODUCCIÓN</w:t>
      </w:r>
    </w:p>
    <w:p>
      <w:pPr>
        <w:spacing w:after="140" w:line="300"/>
      </w:pPr>
      <w:r>
        <w:rPr>
          <w:rFonts w:ascii="Arial" w:cs="Arial" w:eastAsia="Arial" w:hAnsi="Arial"/>
          <w:color w:val="333333"/>
          <w:sz w:val="24"/>
          <w:szCs w:val="24"/>
        </w:rPr>
        <w:t xml:space="preserve">Santa Cruz de la Sierra concentra el 44% del hato ganadero nacional con 4,4 millones de cabezas de ganado bovino, posicionándose como el motor pecuario de Bolivia. Sin embargo, el sector enfrenta un problema estructural dual: por un lado, los 42 mataderos habilitados por SENASAG generan más de 20.000 toneladas anuales de residuos (sangre, contenido ruminal, vísceras no comestibles y huesos) que en su mayoría se vierten sin tratamiento a cuerpos de agua o se acumulan en vertederos, contaminando el río Piraí y los acuíferos de la región. Por otro lado, la sequía recurrente (2023 y 2024 fueron especialmente severos) provoca que los pastizales pierdan hasta el 70% de su valor nutricional entre junio y noviembre, generando pérdidas estimadas de peso, producción lechera y fertilidad en el ganado, particularmente en los pequeños y medianos productores de la Chiquitanía que carecen de acceso a suplementos industriales.</w:t>
      </w:r>
    </w:p>
    <w:p>
      <w:pPr>
        <w:spacing w:after="140" w:line="300"/>
      </w:pPr>
      <w:r>
        <w:rPr>
          <w:rFonts w:ascii="Arial" w:cs="Arial" w:eastAsia="Arial" w:hAnsi="Arial"/>
          <w:color w:val="333333"/>
          <w:sz w:val="24"/>
          <w:szCs w:val="24"/>
        </w:rPr>
        <w:t xml:space="preserve">El problema central que aborda este proyecto es la desconexión entre la oferta de residuos industriales con alto valor nutricional (sangre con 80% de proteína, vísceras aprovechables para bioconversión) y la demanda urgente de suplementación ganadera en épocas de estrés forrajero. Esta desconexión genera una doble externalidad negativa: contaminación ambiental y pérdida productiva pecuaria.</w:t>
      </w:r>
    </w:p>
    <w:p>
      <w:pPr>
        <w:spacing w:after="140" w:line="300"/>
      </w:pPr>
      <w:r>
        <w:rPr>
          <w:rFonts w:ascii="Arial" w:cs="Arial" w:eastAsia="Arial" w:hAnsi="Arial"/>
          <w:color w:val="333333"/>
          <w:sz w:val="24"/>
          <w:szCs w:val="24"/>
        </w:rPr>
        <w:t xml:space="preserve">La justificación del proyecto radica en que no existe en Bolivia ni en Sudamérica un bloque multinutricional que incorpore proteína de insecto (harina de mosca soldado negra, Hermetia illucens), lo que representa una triple innovación: tecnológica (primera granja BSF en Bolivia), de producto (BMN con proteína de insecto y ácido láurico antimicrobiano) y social (programa de socioformación para ganaderos basado en la metodología de Sergio Tobón). El mercado global de BSF alcanzó $770 millones en 2025 con una tasa de crecimiento del 32,4% anual proyectada hasta 2035.</w:t>
      </w:r>
    </w:p>
    <w:p>
      <w:pPr>
        <w:spacing w:after="140" w:line="300"/>
      </w:pPr>
      <w:r>
        <w:rPr>
          <w:rFonts w:ascii="Arial" w:cs="Arial" w:eastAsia="Arial" w:hAnsi="Arial"/>
          <w:color w:val="333333"/>
          <w:sz w:val="24"/>
          <w:szCs w:val="24"/>
        </w:rPr>
        <w:t xml:space="preserve">El objetivo del proyecto socioformativo es diseñar un plan de negocio escalable para NutriCiclo SCZ que demuestre la viabilidad técnica, económica y ambiental de una biofábrica circular que transforme residuos de mataderos e ingenios en bloques multinutricionales con proteína BSF, alineado con los ODS 9 (Industria e Innovación), 12 (Producción y Consumo Responsables) y 17 (Alianzas para lograr los Objetivos).</w:t>
      </w:r>
    </w:p>
    <w:p>
      <w:r>
        <w:br w:type="page"/>
      </w:r>
    </w:p>
    <w:p>
      <w:pPr>
        <w:pStyle w:val="Heading1"/>
        <w:spacing w:before="240" w:after="200"/>
      </w:pPr>
      <w:r>
        <w:rPr>
          <w:rFonts w:ascii="Arial" w:cs="Arial" w:eastAsia="Arial" w:hAnsi="Arial"/>
          <w:b/>
          <w:bCs/>
          <w:color w:val="1B5E20"/>
          <w:sz w:val="28"/>
          <w:szCs w:val="28"/>
        </w:rPr>
        <w:t xml:space="preserve">2. MÉTODOS</w:t>
      </w:r>
    </w:p>
    <w:p>
      <w:pPr>
        <w:pStyle w:val="Heading2"/>
        <w:spacing w:before="200" w:after="160"/>
      </w:pPr>
      <w:r>
        <w:rPr>
          <w:rFonts w:ascii="Arial" w:cs="Arial" w:eastAsia="Arial" w:hAnsi="Arial"/>
          <w:b/>
          <w:bCs/>
          <w:color w:val="1565C0"/>
          <w:sz w:val="26"/>
          <w:szCs w:val="26"/>
        </w:rPr>
        <w:t xml:space="preserve">2.1 Enfoque y tipo de estudio</w:t>
      </w:r>
    </w:p>
    <w:p>
      <w:pPr>
        <w:spacing w:after="140" w:line="300"/>
      </w:pPr>
      <w:r>
        <w:rPr>
          <w:rFonts w:ascii="Arial" w:cs="Arial" w:eastAsia="Arial" w:hAnsi="Arial"/>
          <w:color w:val="333333"/>
          <w:sz w:val="24"/>
          <w:szCs w:val="24"/>
        </w:rPr>
        <w:t xml:space="preserve">El proyecto adopta un enfoque mixto (cualitativo-cuantitativo) con alcance descriptivo-propositivo. Se utilizó la metodología de Design Thinking en cinco fases (Empatizar, Definir, Idear, Prototipar, Testear) para la generación de la idea de negocio, complementada con el modelo Canvas de Osterwalder para la estructuración del plan de negocio y la metodología de las 10 R's de la economía circular para el diagnóstico de sostenibilidad. Como metodología activa se aplicó el Aprendizaje Basado en Proyectos (ABP) articulado con la socioformación de Sergio Tobón.</w:t>
      </w:r>
    </w:p>
    <w:p>
      <w:pPr>
        <w:pStyle w:val="Heading2"/>
        <w:spacing w:before="200" w:after="160"/>
      </w:pPr>
      <w:r>
        <w:rPr>
          <w:rFonts w:ascii="Arial" w:cs="Arial" w:eastAsia="Arial" w:hAnsi="Arial"/>
          <w:b/>
          <w:bCs/>
          <w:color w:val="1565C0"/>
          <w:sz w:val="26"/>
          <w:szCs w:val="26"/>
        </w:rPr>
        <w:t xml:space="preserve">2.2 Contexto y participantes</w:t>
      </w:r>
    </w:p>
    <w:p>
      <w:pPr>
        <w:spacing w:after="140" w:line="300"/>
      </w:pPr>
      <w:r>
        <w:rPr>
          <w:rFonts w:ascii="Arial" w:cs="Arial" w:eastAsia="Arial" w:hAnsi="Arial"/>
          <w:color w:val="333333"/>
          <w:sz w:val="24"/>
          <w:szCs w:val="24"/>
        </w:rPr>
        <w:t xml:space="preserve">El contexto de investigación es el sector pecuario de Santa Cruz de la Sierra, Bolivia, específicamente la cadena de valor que conecta mataderos (FRIGOR, matadero municipal), ingenios azucareros (Guabirá), arroceras del norte integrado, y los 15.000 ganaderos agremiados en FEGASACRUZ. Los participantes indirectos incluyen trabajadores de mataderos, operarios de ingenios, familias rurales ganaderas de la Chiquitanía y el norte integrado, y la comunidad académica de la UPDS.</w:t>
      </w:r>
    </w:p>
    <w:p>
      <w:pPr>
        <w:pStyle w:val="Heading2"/>
        <w:spacing w:before="200" w:after="160"/>
      </w:pPr>
      <w:r>
        <w:rPr>
          <w:rFonts w:ascii="Arial" w:cs="Arial" w:eastAsia="Arial" w:hAnsi="Arial"/>
          <w:b/>
          <w:bCs/>
          <w:color w:val="1565C0"/>
          <w:sz w:val="26"/>
          <w:szCs w:val="26"/>
        </w:rPr>
        <w:t xml:space="preserve">2.3 Técnicas e instrumentos</w:t>
      </w:r>
    </w:p>
    <w:p>
      <w:pPr>
        <w:spacing w:after="140" w:line="300"/>
      </w:pPr>
      <w:r>
        <w:rPr>
          <w:rFonts w:ascii="Arial" w:cs="Arial" w:eastAsia="Arial" w:hAnsi="Arial"/>
          <w:color w:val="333333"/>
          <w:sz w:val="24"/>
          <w:szCs w:val="24"/>
        </w:rPr>
        <w:t xml:space="preserve">Se emplearon las siguientes técnicas: (a) Análisis documental de registros del INE, FEGASACRUZ, IBCE, SENASAG, SDSN Bolivia y fuentes científicas (Engormix, Agrotendencia, Fedegán Colombia, INIFAP México) sobre bloques multinutricionales y BSF. (b) Análisis de datos secundarios sobre producción ganadera, faena, precios de melaza y residuos de matadero. (c) Benchmarking con Bioconversión S.A. (Ecuador), única empresa de harina BSF industrial en la región. (d) Matriz de evaluación cuantitativa con 15 criterios en escala 1-5 (Muñoz Prada, 2022). (e) Diagnóstico de las 10 R's de circularidad con 60 indicadores.</w:t>
      </w:r>
    </w:p>
    <w:p>
      <w:pPr>
        <w:pStyle w:val="Heading2"/>
        <w:spacing w:before="200" w:after="160"/>
      </w:pPr>
      <w:r>
        <w:rPr>
          <w:rFonts w:ascii="Arial" w:cs="Arial" w:eastAsia="Arial" w:hAnsi="Arial"/>
          <w:b/>
          <w:bCs/>
          <w:color w:val="1565C0"/>
          <w:sz w:val="26"/>
          <w:szCs w:val="26"/>
        </w:rPr>
        <w:t xml:space="preserve">2.4 Procedimiento</w:t>
      </w:r>
    </w:p>
    <w:p>
      <w:pPr>
        <w:spacing w:after="140" w:line="300"/>
      </w:pPr>
      <w:r>
        <w:rPr>
          <w:rFonts w:ascii="Arial" w:cs="Arial" w:eastAsia="Arial" w:hAnsi="Arial"/>
          <w:color w:val="333333"/>
          <w:sz w:val="24"/>
          <w:szCs w:val="24"/>
        </w:rPr>
        <w:t xml:space="preserve">El proyecto se desarrolló en las siguientes etapas: (1) Brainstorming de 30 ideas de negocio circular para el sector pecuario de Santa Cruz. (2) Filtrado a 15 ideas con criterios de viabilidad Born Global, impacto SCZ y capacidad de innovación. (3) Posicionamiento en Matriz de Innovación (2x2: impacto vs facilidad). (4) Aplicación de Design Thinking a la idea ganadora (NutriCiclo SCZ). (5) Evaluación cuantitativa con Tabla 6 de 15 criterios (resultado: 4,27/5,00). (6) Desarrollo del plan de negocio en 5 capítulos. (7) Diagnóstico de las 10 R's de circularidad. (8) Elaboración del Canvas de Impacto y Circularidad. (9) Análisis financiero con proyecciones a 3 años. (10) Socialización de resultados.</w:t>
      </w:r>
    </w:p>
    <w:p>
      <w:pPr>
        <w:pStyle w:val="Heading2"/>
        <w:spacing w:before="200" w:after="160"/>
      </w:pPr>
      <w:r>
        <w:rPr>
          <w:rFonts w:ascii="Arial" w:cs="Arial" w:eastAsia="Arial" w:hAnsi="Arial"/>
          <w:b/>
          <w:bCs/>
          <w:color w:val="1565C0"/>
          <w:sz w:val="26"/>
          <w:szCs w:val="26"/>
        </w:rPr>
        <w:t xml:space="preserve">2.5 Uso de Inteligencia Artificial</w:t>
      </w:r>
    </w:p>
    <w:p>
      <w:pPr>
        <w:spacing w:after="140" w:line="300"/>
      </w:pPr>
      <w:r>
        <w:rPr>
          <w:rFonts w:ascii="Arial" w:cs="Arial" w:eastAsia="Arial" w:hAnsi="Arial"/>
          <w:color w:val="333333"/>
          <w:sz w:val="24"/>
          <w:szCs w:val="24"/>
        </w:rPr>
        <w:t xml:space="preserve">Se utilizó Claude (Anthropic, modelo Claude Opus) como asistente pedagógico en las siguientes funciones: (a) Investigación y validación de datos sobre BSF, BMN, y sector ganadero boliviano. (b) Análisis comparativo con emprendimientos similares en la región (Bioconversión Ecuador). (c) Generación de documentos estructurados (Canvas, matrices, tablas de evaluación). (d) Modelado financiero (costos, márgenes, TIR, VAN). (e) Diseño de la fórmula nutricional del bloque con base en literatura técnica. La IA se utilizó como herramienta de apoyo, manteniendo el rol central del estudiante en la toma de decisiones y la validación de toda la información generada.</w:t>
      </w:r>
    </w:p>
    <w:p>
      <w:pPr>
        <w:pStyle w:val="Heading2"/>
        <w:spacing w:before="200" w:after="160"/>
      </w:pPr>
      <w:r>
        <w:rPr>
          <w:rFonts w:ascii="Arial" w:cs="Arial" w:eastAsia="Arial" w:hAnsi="Arial"/>
          <w:b/>
          <w:bCs/>
          <w:color w:val="1565C0"/>
          <w:sz w:val="26"/>
          <w:szCs w:val="26"/>
        </w:rPr>
        <w:t xml:space="preserve">2.6 Sostenibilidad y responsabilidad social</w:t>
      </w:r>
    </w:p>
    <w:p>
      <w:pPr>
        <w:spacing w:after="140" w:line="300"/>
      </w:pPr>
      <w:r>
        <w:rPr>
          <w:rFonts w:ascii="Arial" w:cs="Arial" w:eastAsia="Arial" w:hAnsi="Arial"/>
          <w:color w:val="333333"/>
          <w:sz w:val="24"/>
          <w:szCs w:val="24"/>
        </w:rPr>
        <w:t xml:space="preserve">El proyecto integra criterios de sostenibilidad en tres dimensiones: ambiental (ciclo cerrado que elimina residuos contaminantes y reduce emisiones de metano), económica (modelo rentable sin subsidios que genera 8-15 empleos directos), y social (programa de socioformación que capacita 60-120 ganaderos/año en economía circular, con enfoque en grupos vulnerables: pequeños productores de la Chiquitanía afectados por sequía). Se alinea con los ODS 9, 12 y 17 del Pacto Global.</w:t>
      </w:r>
    </w:p>
    <w:p>
      <w:r>
        <w:br w:type="page"/>
      </w:r>
    </w:p>
    <w:p>
      <w:pPr>
        <w:pStyle w:val="Heading1"/>
        <w:spacing w:before="240" w:after="200"/>
      </w:pPr>
      <w:r>
        <w:rPr>
          <w:rFonts w:ascii="Arial" w:cs="Arial" w:eastAsia="Arial" w:hAnsi="Arial"/>
          <w:b/>
          <w:bCs/>
          <w:color w:val="1B5E20"/>
          <w:sz w:val="28"/>
          <w:szCs w:val="28"/>
        </w:rPr>
        <w:t xml:space="preserve">3. RESULTADOS</w:t>
      </w:r>
    </w:p>
    <w:p>
      <w:pPr>
        <w:spacing w:after="40"/>
      </w:pPr>
      <w:r>
        <w:rPr>
          <w:rFonts w:ascii="Arial" w:cs="Arial" w:eastAsia="Arial" w:hAnsi="Arial"/>
          <w:color w:val="333333"/>
          <w:sz w:val="24"/>
          <w:szCs w:val="24"/>
        </w:rPr>
        <w:t xml:space="preserve"/>
      </w:r>
    </w:p>
    <w:p>
      <w:pPr>
        <w:pStyle w:val="Heading2"/>
        <w:spacing w:before="200" w:after="160"/>
      </w:pPr>
      <w:r>
        <w:rPr>
          <w:rFonts w:ascii="Arial" w:cs="Arial" w:eastAsia="Arial" w:hAnsi="Arial"/>
          <w:b/>
          <w:bCs/>
          <w:color w:val="1565C0"/>
          <w:sz w:val="26"/>
          <w:szCs w:val="26"/>
        </w:rPr>
        <w:t xml:space="preserve">CAPÍTULO 1: DIAGNÓSTICO</w:t>
      </w:r>
    </w:p>
    <w:p>
      <w:pPr>
        <w:pStyle w:val="Heading3"/>
        <w:spacing w:before="160" w:after="120"/>
      </w:pPr>
      <w:r>
        <w:rPr>
          <w:rFonts w:ascii="Arial" w:cs="Arial" w:eastAsia="Arial" w:hAnsi="Arial"/>
          <w:b/>
          <w:bCs/>
          <w:color w:val="E65100"/>
          <w:sz w:val="24"/>
          <w:szCs w:val="24"/>
        </w:rPr>
        <w:t xml:space="preserve">1.1 Idea de negocio</w:t>
      </w:r>
    </w:p>
    <w:p>
      <w:pPr>
        <w:spacing w:after="140" w:line="300"/>
      </w:pPr>
      <w:r>
        <w:rPr>
          <w:rFonts w:ascii="Arial" w:cs="Arial" w:eastAsia="Arial" w:hAnsi="Arial"/>
          <w:color w:val="333333"/>
          <w:sz w:val="24"/>
          <w:szCs w:val="24"/>
        </w:rPr>
        <w:t xml:space="preserve">NutriCiclo SCZ es una biofábrica circular que produce bloques multinutricionales (BMN) sólidos de 5 y 25 kg para ganado vacuno, enriquecidos con harina de mosca soldado negra (BSF — Hermetia illucens), fabricados 100% con residuos industriales de Santa Cruz. La fórmula del bloque es: 30% melaza de caña (Guabirá) + 15% afrecho de soya + 10% harina de sangre bovina + 10% cascarilla de arroz + 10% urea agrícola + 10% cal viva + 5% harina de hueso calcinado + 5% sal mineralizada + 4% harina BSF + 1% azufre. El ganado consume el bloque lamiéndolo durante todo el día (400-800 g/día, autorregulado), obteniendo +420 g/día de ganancia de peso y +4-5 litros/día de leche adicional.</w:t>
      </w:r>
    </w:p>
    <w:p>
      <w:pPr>
        <w:pStyle w:val="Heading3"/>
        <w:spacing w:before="160" w:after="120"/>
      </w:pPr>
      <w:r>
        <w:rPr>
          <w:rFonts w:ascii="Arial" w:cs="Arial" w:eastAsia="Arial" w:hAnsi="Arial"/>
          <w:b/>
          <w:bCs/>
          <w:color w:val="E65100"/>
          <w:sz w:val="24"/>
          <w:szCs w:val="24"/>
        </w:rPr>
        <w:t xml:space="preserve">1.2 Propuesta de valor</w:t>
      </w:r>
    </w:p>
    <w:p>
      <w:pPr>
        <w:spacing w:after="140" w:line="300"/>
      </w:pPr>
      <w:r>
        <w:rPr>
          <w:rFonts w:ascii="Arial" w:cs="Arial" w:eastAsia="Arial" w:hAnsi="Arial"/>
          <w:color w:val="333333"/>
          <w:sz w:val="24"/>
          <w:szCs w:val="24"/>
        </w:rPr>
        <w:t xml:space="preserve">"Transformamos los residuos contaminantes de los mataderos de Santa Cruz en el único bloque multinutricional con proteína de insecto de Bolivia, que mantiene tu ganado productivo en sequía a menor costo que el balanceado comercial." La propuesta se sustenta en cinco pilares: (1) Precio accesible: Bs 4-6/kg vs Bs 5-8/kg del balanceado. (2) Innovación única: primer BMN con BSF en Sudamérica. (3) Formato práctico: sólido, transportable a caballo, sin infraestructura especial. (4) Protección sanitaria: ácido láurico antimicrobiano natural de la BSF. (5) Ciclo cerrado: 74% de la MP es residuo industrial gratuito.</w:t>
      </w:r>
    </w:p>
    <w:p>
      <w:pPr>
        <w:pStyle w:val="Heading3"/>
        <w:spacing w:before="160" w:after="120"/>
      </w:pPr>
      <w:r>
        <w:rPr>
          <w:rFonts w:ascii="Arial" w:cs="Arial" w:eastAsia="Arial" w:hAnsi="Arial"/>
          <w:b/>
          <w:bCs/>
          <w:color w:val="E65100"/>
          <w:sz w:val="24"/>
          <w:szCs w:val="24"/>
        </w:rPr>
        <w:t xml:space="preserve">1.3 Investigación del Modelo Circular</w:t>
      </w:r>
    </w:p>
    <w:p>
      <w:pPr>
        <w:spacing w:after="140" w:line="300"/>
      </w:pPr>
      <w:r>
        <w:rPr>
          <w:rFonts w:ascii="Arial" w:cs="Arial" w:eastAsia="Arial" w:hAnsi="Arial"/>
          <w:color w:val="333333"/>
          <w:sz w:val="24"/>
          <w:szCs w:val="24"/>
        </w:rPr>
        <w:t xml:space="preserve">NutriCiclo opera un ciclo productivo 100% cerrado en 10 eslabones: (1) Mataderos generan &gt;20.000 tn/año de residuos. (2) NutriCiclo recolecta sangre, rumen, vísceras, huesos. (3) Transforma en harinas (sangre 80% proteína, hueso 30% Ca + 15% P) y cría BSF (vísceras → larvas → harina 42-50% proteína). (4) Fabrica BMN con 10 ingredientes. (5) Distribuye a ganaderos vía FEGASACRUZ. (6) Ganado consume lamiéndolo. (7) Genera estiércol enriquecido. (8) Estiércol se composta con lombriz roja. (9) Compost fertiliza suelos de cañeros. (10) Caña crece → Guabirá produce melaza → melaza vuelve al bloque. El diagnóstico de las 10 R's arroja 40/60 verdes (67% circular), con cero rojas.</w:t>
      </w:r>
    </w:p>
    <w:p>
      <w:pPr>
        <w:pStyle w:val="Heading3"/>
        <w:spacing w:before="160" w:after="120"/>
      </w:pPr>
      <w:r>
        <w:rPr>
          <w:rFonts w:ascii="Arial" w:cs="Arial" w:eastAsia="Arial" w:hAnsi="Arial"/>
          <w:b/>
          <w:bCs/>
          <w:color w:val="E65100"/>
          <w:sz w:val="24"/>
          <w:szCs w:val="24"/>
        </w:rPr>
        <w:t xml:space="preserve">1.4 Análisis PESTEL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200"/>
        <w:gridCol w:w="1760"/>
      </w:tblGrid>
      <w:tr>
        <w:tc>
          <w:tcPr>
            <w:tcW w:type="dxa" w:w="1400"/>
            <w:tcBorders>
              <w:top w:val="single" w:color="AAAAAA" w:sz="1"/>
              <w:left w:val="single" w:color="AAAAAA" w:sz="1"/>
              <w:bottom w:val="single" w:color="AAAAAA" w:sz="1"/>
              <w:right w:val="single" w:color="AAAAAA" w:sz="1"/>
            </w:tcBorders>
            <w:shd w:fill="1B5E20" w:val="clear"/>
            <w:tcMar>
              <w:top w:type="dxa" w:w="50"/>
              <w:left w:type="dxa" w:w="80"/>
              <w:bottom w:type="dxa" w:w="50"/>
              <w:right w:type="dxa" w:w="80"/>
            </w:tcMar>
            <w:vAlign w:val="center"/>
          </w:tcPr>
          <w:p>
            <w:pPr>
              <w:spacing w:after="120" w:line="276"/>
            </w:pPr>
            <w:r>
              <w:rPr>
                <w:rFonts w:ascii="Arial" w:cs="Arial" w:eastAsia="Arial" w:hAnsi="Arial"/>
                <w:b/>
                <w:bCs/>
                <w:color w:val="FFFFFF"/>
                <w:sz w:val="18"/>
                <w:szCs w:val="18"/>
              </w:rPr>
              <w:t xml:space="preserve">Factor</w:t>
            </w:r>
          </w:p>
        </w:tc>
        <w:tc>
          <w:tcPr>
            <w:tcW w:type="dxa" w:w="6200"/>
            <w:tcBorders>
              <w:top w:val="single" w:color="AAAAAA" w:sz="1"/>
              <w:left w:val="single" w:color="AAAAAA" w:sz="1"/>
              <w:bottom w:val="single" w:color="AAAAAA" w:sz="1"/>
              <w:right w:val="single" w:color="AAAAAA" w:sz="1"/>
            </w:tcBorders>
            <w:shd w:fill="1B5E20" w:val="clear"/>
            <w:tcMar>
              <w:top w:type="dxa" w:w="50"/>
              <w:left w:type="dxa" w:w="80"/>
              <w:bottom w:type="dxa" w:w="50"/>
              <w:right w:type="dxa" w:w="80"/>
            </w:tcMar>
            <w:vAlign w:val="center"/>
          </w:tcPr>
          <w:p>
            <w:pPr>
              <w:spacing w:after="120" w:line="276"/>
            </w:pPr>
            <w:r>
              <w:rPr>
                <w:rFonts w:ascii="Arial" w:cs="Arial" w:eastAsia="Arial" w:hAnsi="Arial"/>
                <w:b/>
                <w:bCs/>
                <w:color w:val="FFFFFF"/>
                <w:sz w:val="18"/>
                <w:szCs w:val="18"/>
              </w:rPr>
              <w:t xml:space="preserve">Análisis para NutriCiclo SCZ</w:t>
            </w:r>
          </w:p>
        </w:tc>
        <w:tc>
          <w:tcPr>
            <w:tcW w:type="dxa" w:w="1760"/>
            <w:tcBorders>
              <w:top w:val="single" w:color="AAAAAA" w:sz="1"/>
              <w:left w:val="single" w:color="AAAAAA" w:sz="1"/>
              <w:bottom w:val="single" w:color="AAAAAA" w:sz="1"/>
              <w:right w:val="single" w:color="AAAAAA" w:sz="1"/>
            </w:tcBorders>
            <w:shd w:fill="1B5E20" w:val="clear"/>
            <w:tcMar>
              <w:top w:type="dxa" w:w="50"/>
              <w:left w:type="dxa" w:w="80"/>
              <w:bottom w:type="dxa" w:w="50"/>
              <w:right w:type="dxa" w:w="80"/>
            </w:tcMar>
            <w:vAlign w:val="center"/>
          </w:tcPr>
          <w:p>
            <w:pPr>
              <w:spacing w:after="120" w:line="276"/>
            </w:pPr>
            <w:r>
              <w:rPr>
                <w:rFonts w:ascii="Arial" w:cs="Arial" w:eastAsia="Arial" w:hAnsi="Arial"/>
                <w:b/>
                <w:bCs/>
                <w:color w:val="FFFFFF"/>
                <w:sz w:val="18"/>
                <w:szCs w:val="18"/>
              </w:rPr>
              <w:t xml:space="preserve">Impacto</w:t>
            </w:r>
          </w:p>
        </w:tc>
      </w:tr>
      <w:tr>
        <w:tc>
          <w:tcPr>
            <w:tcW w:type="dxa" w:w="1400"/>
            <w:tcBorders>
              <w:top w:val="single" w:color="AAAAAA" w:sz="1"/>
              <w:left w:val="single" w:color="AAAAAA" w:sz="1"/>
              <w:bottom w:val="single" w:color="AAAAAA" w:sz="1"/>
              <w:right w:val="single" w:color="AAAAAA" w:sz="1"/>
            </w:tcBorders>
            <w:shd w:fill="F1F8E9" w:val="clear"/>
            <w:tcMar>
              <w:top w:type="dxa" w:w="50"/>
              <w:left w:type="dxa" w:w="80"/>
              <w:bottom w:type="dxa" w:w="50"/>
              <w:right w:type="dxa" w:w="80"/>
            </w:tcMar>
            <w:vAlign w:val="center"/>
          </w:tcPr>
          <w:p>
            <w:pPr>
              <w:spacing w:after="120" w:line="276"/>
            </w:pPr>
            <w:r>
              <w:rPr>
                <w:rFonts w:ascii="Arial" w:cs="Arial" w:eastAsia="Arial" w:hAnsi="Arial"/>
                <w:b/>
                <w:bCs/>
                <w:color w:val="1B5E20"/>
                <w:sz w:val="18"/>
                <w:szCs w:val="18"/>
              </w:rPr>
              <w:t xml:space="preserve">Político</w:t>
            </w:r>
          </w:p>
        </w:tc>
        <w:tc>
          <w:tcPr>
            <w:tcW w:type="dxa" w:w="6200"/>
            <w:tcBorders>
              <w:top w:val="single" w:color="AAAAAA" w:sz="1"/>
              <w:left w:val="single" w:color="AAAAAA" w:sz="1"/>
              <w:bottom w:val="single" w:color="AAAAAA" w:sz="1"/>
              <w:right w:val="single" w:color="AAAAAA" w:sz="1"/>
            </w:tcBorders>
            <w:shd w:fill="F1F8E9" w:val="clear"/>
            <w:tcMar>
              <w:top w:type="dxa" w:w="50"/>
              <w:left w:type="dxa" w:w="80"/>
              <w:bottom w:type="dxa" w:w="50"/>
              <w:right w:type="dxa" w:w="80"/>
            </w:tcMar>
            <w:vAlign w:val="center"/>
          </w:tcPr>
          <w:p>
            <w:pPr>
              <w:spacing w:after="120" w:line="276"/>
            </w:pPr>
            <w:r>
              <w:rPr>
                <w:rFonts w:ascii="Arial" w:cs="Arial" w:eastAsia="Arial" w:hAnsi="Arial"/>
                <w:color w:val="333333"/>
                <w:sz w:val="18"/>
                <w:szCs w:val="18"/>
              </w:rPr>
              <w:t xml:space="preserve">Ley 755 de Gestión Integral de Residuos obliga a mataderos a gestionar sus desechos (oportunidad: necesitan a NutriCiclo). Plan Nacional de Desarrollo Económico y Social 2025-2030 prioriza agroindustria y economía circular. SENASAG regula alimentos para animales (requiere registro sanitario).</w:t>
            </w:r>
          </w:p>
        </w:tc>
        <w:tc>
          <w:tcPr>
            <w:tcW w:type="dxa" w:w="1760"/>
            <w:tcBorders>
              <w:top w:val="single" w:color="AAAAAA" w:sz="1"/>
              <w:left w:val="single" w:color="AAAAAA" w:sz="1"/>
              <w:bottom w:val="single" w:color="AAAAAA" w:sz="1"/>
              <w:right w:val="single" w:color="AAAAAA" w:sz="1"/>
            </w:tcBorders>
            <w:shd w:fill="F1F8E9" w:val="clear"/>
            <w:tcMar>
              <w:top w:type="dxa" w:w="50"/>
              <w:left w:type="dxa" w:w="80"/>
              <w:bottom w:type="dxa" w:w="50"/>
              <w:right w:type="dxa" w:w="80"/>
            </w:tcMar>
            <w:vAlign w:val="center"/>
          </w:tcPr>
          <w:p>
            <w:pPr>
              <w:spacing w:after="120" w:line="276"/>
            </w:pPr>
            <w:r>
              <w:rPr>
                <w:rFonts w:ascii="Arial" w:cs="Arial" w:eastAsia="Arial" w:hAnsi="Arial"/>
                <w:b/>
                <w:bCs/>
                <w:color w:val="2E7D32"/>
                <w:sz w:val="18"/>
                <w:szCs w:val="18"/>
              </w:rPr>
              <w:t xml:space="preserve">FAVORABLE</w:t>
            </w:r>
          </w:p>
        </w:tc>
      </w:tr>
      <w:tr>
        <w:tc>
          <w:tcPr>
            <w:tcW w:type="dxa" w:w="14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20" w:line="276"/>
            </w:pPr>
            <w:r>
              <w:rPr>
                <w:rFonts w:ascii="Arial" w:cs="Arial" w:eastAsia="Arial" w:hAnsi="Arial"/>
                <w:b/>
                <w:bCs/>
                <w:color w:val="1B5E20"/>
                <w:sz w:val="18"/>
                <w:szCs w:val="18"/>
              </w:rPr>
              <w:t xml:space="preserve">Económico</w:t>
            </w:r>
          </w:p>
        </w:tc>
        <w:tc>
          <w:tcPr>
            <w:tcW w:type="dxa" w:w="62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20" w:line="276"/>
            </w:pPr>
            <w:r>
              <w:rPr>
                <w:rFonts w:ascii="Arial" w:cs="Arial" w:eastAsia="Arial" w:hAnsi="Arial"/>
                <w:color w:val="333333"/>
                <w:sz w:val="18"/>
                <w:szCs w:val="18"/>
              </w:rPr>
              <w:t xml:space="preserve">PIB Bolivia $45.5B (Banco Mundial, 2024). Sector ganadero SCZ genera $403M/año (IBCE). Inflación controlada ~3%. Tipo de cambio fijo Bs 6.96/$. Precio melaza: Bs 1,465/tn (estable). Créditos BDP Productivo disponibles para emprendimientos agroindustriales con tasa preferencial.</w:t>
            </w:r>
          </w:p>
        </w:tc>
        <w:tc>
          <w:tcPr>
            <w:tcW w:type="dxa" w:w="176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20" w:line="276"/>
            </w:pPr>
            <w:r>
              <w:rPr>
                <w:rFonts w:ascii="Arial" w:cs="Arial" w:eastAsia="Arial" w:hAnsi="Arial"/>
                <w:b/>
                <w:bCs/>
                <w:color w:val="2E7D32"/>
                <w:sz w:val="18"/>
                <w:szCs w:val="18"/>
              </w:rPr>
              <w:t xml:space="preserve">FAVORABLE</w:t>
            </w:r>
          </w:p>
        </w:tc>
      </w:tr>
      <w:tr>
        <w:tc>
          <w:tcPr>
            <w:tcW w:type="dxa" w:w="1400"/>
            <w:tcBorders>
              <w:top w:val="single" w:color="AAAAAA" w:sz="1"/>
              <w:left w:val="single" w:color="AAAAAA" w:sz="1"/>
              <w:bottom w:val="single" w:color="AAAAAA" w:sz="1"/>
              <w:right w:val="single" w:color="AAAAAA" w:sz="1"/>
            </w:tcBorders>
            <w:shd w:fill="F1F8E9" w:val="clear"/>
            <w:tcMar>
              <w:top w:type="dxa" w:w="50"/>
              <w:left w:type="dxa" w:w="80"/>
              <w:bottom w:type="dxa" w:w="50"/>
              <w:right w:type="dxa" w:w="80"/>
            </w:tcMar>
            <w:vAlign w:val="center"/>
          </w:tcPr>
          <w:p>
            <w:pPr>
              <w:spacing w:after="120" w:line="276"/>
            </w:pPr>
            <w:r>
              <w:rPr>
                <w:rFonts w:ascii="Arial" w:cs="Arial" w:eastAsia="Arial" w:hAnsi="Arial"/>
                <w:b/>
                <w:bCs/>
                <w:color w:val="1B5E20"/>
                <w:sz w:val="18"/>
                <w:szCs w:val="18"/>
              </w:rPr>
              <w:t xml:space="preserve">Social</w:t>
            </w:r>
          </w:p>
        </w:tc>
        <w:tc>
          <w:tcPr>
            <w:tcW w:type="dxa" w:w="6200"/>
            <w:tcBorders>
              <w:top w:val="single" w:color="AAAAAA" w:sz="1"/>
              <w:left w:val="single" w:color="AAAAAA" w:sz="1"/>
              <w:bottom w:val="single" w:color="AAAAAA" w:sz="1"/>
              <w:right w:val="single" w:color="AAAAAA" w:sz="1"/>
            </w:tcBorders>
            <w:shd w:fill="F1F8E9" w:val="clear"/>
            <w:tcMar>
              <w:top w:type="dxa" w:w="50"/>
              <w:left w:type="dxa" w:w="80"/>
              <w:bottom w:type="dxa" w:w="50"/>
              <w:right w:type="dxa" w:w="80"/>
            </w:tcMar>
            <w:vAlign w:val="center"/>
          </w:tcPr>
          <w:p>
            <w:pPr>
              <w:spacing w:after="120" w:line="276"/>
            </w:pPr>
            <w:r>
              <w:rPr>
                <w:rFonts w:ascii="Arial" w:cs="Arial" w:eastAsia="Arial" w:hAnsi="Arial"/>
                <w:color w:val="333333"/>
                <w:sz w:val="18"/>
                <w:szCs w:val="18"/>
              </w:rPr>
              <w:t xml:space="preserve">65% del hato cruceño en Chiquitanía, zona con mayor vulnerabilidad a sequía. 15.000 ganaderos agremiados en FEGASACRUZ. Cultura ganadera fuerte pero resistencia a innovación (requiere socioformación). Migración rural-urbana por falta de oportunidades en estancias.</w:t>
            </w:r>
          </w:p>
        </w:tc>
        <w:tc>
          <w:tcPr>
            <w:tcW w:type="dxa" w:w="1760"/>
            <w:tcBorders>
              <w:top w:val="single" w:color="AAAAAA" w:sz="1"/>
              <w:left w:val="single" w:color="AAAAAA" w:sz="1"/>
              <w:bottom w:val="single" w:color="AAAAAA" w:sz="1"/>
              <w:right w:val="single" w:color="AAAAAA" w:sz="1"/>
            </w:tcBorders>
            <w:shd w:fill="F1F8E9" w:val="clear"/>
            <w:tcMar>
              <w:top w:type="dxa" w:w="50"/>
              <w:left w:type="dxa" w:w="80"/>
              <w:bottom w:type="dxa" w:w="50"/>
              <w:right w:type="dxa" w:w="80"/>
            </w:tcMar>
            <w:vAlign w:val="center"/>
          </w:tcPr>
          <w:p>
            <w:pPr>
              <w:spacing w:after="120" w:line="276"/>
            </w:pPr>
            <w:r>
              <w:rPr>
                <w:rFonts w:ascii="Arial" w:cs="Arial" w:eastAsia="Arial" w:hAnsi="Arial"/>
                <w:b/>
                <w:bCs/>
                <w:color w:val="2E7D32"/>
                <w:sz w:val="18"/>
                <w:szCs w:val="18"/>
              </w:rPr>
              <w:t xml:space="preserve">FAVORABLE CON RETO</w:t>
            </w:r>
          </w:p>
        </w:tc>
      </w:tr>
      <w:tr>
        <w:tc>
          <w:tcPr>
            <w:tcW w:type="dxa" w:w="14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20" w:line="276"/>
            </w:pPr>
            <w:r>
              <w:rPr>
                <w:rFonts w:ascii="Arial" w:cs="Arial" w:eastAsia="Arial" w:hAnsi="Arial"/>
                <w:b/>
                <w:bCs/>
                <w:color w:val="1B5E20"/>
                <w:sz w:val="18"/>
                <w:szCs w:val="18"/>
              </w:rPr>
              <w:t xml:space="preserve">Tecnológico</w:t>
            </w:r>
          </w:p>
        </w:tc>
        <w:tc>
          <w:tcPr>
            <w:tcW w:type="dxa" w:w="62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20" w:line="276"/>
            </w:pPr>
            <w:r>
              <w:rPr>
                <w:rFonts w:ascii="Arial" w:cs="Arial" w:eastAsia="Arial" w:hAnsi="Arial"/>
                <w:color w:val="333333"/>
                <w:sz w:val="18"/>
                <w:szCs w:val="18"/>
              </w:rPr>
              <w:t xml:space="preserve">No existe operación BSF comercial en Bolivia. Referente regional: Bioconversión S.A. (Ecuador, 100 tn/mes). Tecnología IoT accesible (ESP32 ~$5/unidad). Conectividad 4G en norte integrado. Retell AI disponible para ventas por voz. Laravel/PostgreSQL para plataforma digital.</w:t>
            </w:r>
          </w:p>
        </w:tc>
        <w:tc>
          <w:tcPr>
            <w:tcW w:type="dxa" w:w="176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20" w:line="276"/>
            </w:pPr>
            <w:r>
              <w:rPr>
                <w:rFonts w:ascii="Arial" w:cs="Arial" w:eastAsia="Arial" w:hAnsi="Arial"/>
                <w:b/>
                <w:bCs/>
                <w:color w:val="1B5E20"/>
                <w:sz w:val="18"/>
                <w:szCs w:val="18"/>
              </w:rPr>
              <w:t xml:space="preserve">MUY FAVORABLE</w:t>
            </w:r>
          </w:p>
        </w:tc>
      </w:tr>
      <w:tr>
        <w:tc>
          <w:tcPr>
            <w:tcW w:type="dxa" w:w="1400"/>
            <w:tcBorders>
              <w:top w:val="single" w:color="AAAAAA" w:sz="1"/>
              <w:left w:val="single" w:color="AAAAAA" w:sz="1"/>
              <w:bottom w:val="single" w:color="AAAAAA" w:sz="1"/>
              <w:right w:val="single" w:color="AAAAAA" w:sz="1"/>
            </w:tcBorders>
            <w:shd w:fill="F1F8E9" w:val="clear"/>
            <w:tcMar>
              <w:top w:type="dxa" w:w="50"/>
              <w:left w:type="dxa" w:w="80"/>
              <w:bottom w:type="dxa" w:w="50"/>
              <w:right w:type="dxa" w:w="80"/>
            </w:tcMar>
            <w:vAlign w:val="center"/>
          </w:tcPr>
          <w:p>
            <w:pPr>
              <w:spacing w:after="120" w:line="276"/>
            </w:pPr>
            <w:r>
              <w:rPr>
                <w:rFonts w:ascii="Arial" w:cs="Arial" w:eastAsia="Arial" w:hAnsi="Arial"/>
                <w:b/>
                <w:bCs/>
                <w:color w:val="1B5E20"/>
                <w:sz w:val="18"/>
                <w:szCs w:val="18"/>
              </w:rPr>
              <w:t xml:space="preserve">Ecológico</w:t>
            </w:r>
          </w:p>
        </w:tc>
        <w:tc>
          <w:tcPr>
            <w:tcW w:type="dxa" w:w="6200"/>
            <w:tcBorders>
              <w:top w:val="single" w:color="AAAAAA" w:sz="1"/>
              <w:left w:val="single" w:color="AAAAAA" w:sz="1"/>
              <w:bottom w:val="single" w:color="AAAAAA" w:sz="1"/>
              <w:right w:val="single" w:color="AAAAAA" w:sz="1"/>
            </w:tcBorders>
            <w:shd w:fill="F1F8E9" w:val="clear"/>
            <w:tcMar>
              <w:top w:type="dxa" w:w="50"/>
              <w:left w:type="dxa" w:w="80"/>
              <w:bottom w:type="dxa" w:w="50"/>
              <w:right w:type="dxa" w:w="80"/>
            </w:tcMar>
            <w:vAlign w:val="center"/>
          </w:tcPr>
          <w:p>
            <w:pPr>
              <w:spacing w:after="120" w:line="276"/>
            </w:pPr>
            <w:r>
              <w:rPr>
                <w:rFonts w:ascii="Arial" w:cs="Arial" w:eastAsia="Arial" w:hAnsi="Arial"/>
                <w:color w:val="333333"/>
                <w:sz w:val="18"/>
                <w:szCs w:val="18"/>
              </w:rPr>
              <w:t xml:space="preserve">Sequía recurrente 2023-2024 afecta severamente pastizales. Emisiones metano ganadero = 12-23% de GEI nacionales. Contaminación río Piraí por residuos de matadero. ODS 9, 12, 17 como marco. Fondos internacionales (Swisscontact, JICA) financian economía circular en Bolivia.</w:t>
            </w:r>
          </w:p>
        </w:tc>
        <w:tc>
          <w:tcPr>
            <w:tcW w:type="dxa" w:w="1760"/>
            <w:tcBorders>
              <w:top w:val="single" w:color="AAAAAA" w:sz="1"/>
              <w:left w:val="single" w:color="AAAAAA" w:sz="1"/>
              <w:bottom w:val="single" w:color="AAAAAA" w:sz="1"/>
              <w:right w:val="single" w:color="AAAAAA" w:sz="1"/>
            </w:tcBorders>
            <w:shd w:fill="F1F8E9" w:val="clear"/>
            <w:tcMar>
              <w:top w:type="dxa" w:w="50"/>
              <w:left w:type="dxa" w:w="80"/>
              <w:bottom w:type="dxa" w:w="50"/>
              <w:right w:type="dxa" w:w="80"/>
            </w:tcMar>
            <w:vAlign w:val="center"/>
          </w:tcPr>
          <w:p>
            <w:pPr>
              <w:spacing w:after="120" w:line="276"/>
            </w:pPr>
            <w:r>
              <w:rPr>
                <w:rFonts w:ascii="Arial" w:cs="Arial" w:eastAsia="Arial" w:hAnsi="Arial"/>
                <w:b/>
                <w:bCs/>
                <w:color w:val="1B5E20"/>
                <w:sz w:val="18"/>
                <w:szCs w:val="18"/>
              </w:rPr>
              <w:t xml:space="preserve">MUY FAVORABLE</w:t>
            </w:r>
          </w:p>
        </w:tc>
      </w:tr>
      <w:tr>
        <w:tc>
          <w:tcPr>
            <w:tcW w:type="dxa" w:w="14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20" w:line="276"/>
            </w:pPr>
            <w:r>
              <w:rPr>
                <w:rFonts w:ascii="Arial" w:cs="Arial" w:eastAsia="Arial" w:hAnsi="Arial"/>
                <w:b/>
                <w:bCs/>
                <w:color w:val="1B5E20"/>
                <w:sz w:val="18"/>
                <w:szCs w:val="18"/>
              </w:rPr>
              <w:t xml:space="preserve">Legal</w:t>
            </w:r>
          </w:p>
        </w:tc>
        <w:tc>
          <w:tcPr>
            <w:tcW w:type="dxa" w:w="62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20" w:line="276"/>
            </w:pPr>
            <w:r>
              <w:rPr>
                <w:rFonts w:ascii="Arial" w:cs="Arial" w:eastAsia="Arial" w:hAnsi="Arial"/>
                <w:color w:val="333333"/>
                <w:sz w:val="18"/>
                <w:szCs w:val="18"/>
              </w:rPr>
              <w:t xml:space="preserve">Ley 755 (residuos). Ley 830 (sanidad agropecuaria). Registro SENASAG para alimentos animales. Ley de Empresas: constitución como S.R.L. Normas laborales: salario mínimo Bs 2,362. Ley de inversiones: protección a capital nacional y extranjero.</w:t>
            </w:r>
          </w:p>
        </w:tc>
        <w:tc>
          <w:tcPr>
            <w:tcW w:type="dxa" w:w="176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20" w:line="276"/>
            </w:pPr>
            <w:r>
              <w:rPr>
                <w:rFonts w:ascii="Arial" w:cs="Arial" w:eastAsia="Arial" w:hAnsi="Arial"/>
                <w:b/>
                <w:bCs/>
                <w:color w:val="999999"/>
                <w:sz w:val="18"/>
                <w:szCs w:val="18"/>
              </w:rPr>
              <w:t xml:space="preserve">NEUTRAL</w:t>
            </w:r>
          </w:p>
        </w:tc>
      </w:tr>
    </w:tbl>
    <w:p>
      <w:pPr>
        <w:spacing w:after="120"/>
      </w:pPr>
      <w:r>
        <w:rPr>
          <w:rFonts w:ascii="Arial" w:cs="Arial" w:eastAsia="Arial" w:hAnsi="Arial"/>
          <w:color w:val="333333"/>
          <w:sz w:val="24"/>
          <w:szCs w:val="24"/>
        </w:rPr>
        <w:t xml:space="preserve"/>
      </w:r>
    </w:p>
    <w:p>
      <w:pPr>
        <w:pStyle w:val="Heading3"/>
        <w:spacing w:before="160" w:after="120"/>
      </w:pPr>
      <w:r>
        <w:rPr>
          <w:rFonts w:ascii="Arial" w:cs="Arial" w:eastAsia="Arial" w:hAnsi="Arial"/>
          <w:b/>
          <w:bCs/>
          <w:color w:val="E65100"/>
          <w:sz w:val="24"/>
          <w:szCs w:val="24"/>
        </w:rPr>
        <w:t xml:space="preserve">1.5 Investigación de mercado</w:t>
      </w:r>
    </w:p>
    <w:p>
      <w:pPr>
        <w:spacing w:after="140" w:line="300"/>
      </w:pPr>
      <w:r>
        <w:rPr>
          <w:rFonts w:ascii="Arial" w:cs="Arial" w:eastAsia="Arial" w:hAnsi="Arial"/>
          <w:color w:val="333333"/>
          <w:sz w:val="24"/>
          <w:szCs w:val="24"/>
        </w:rPr>
        <w:t xml:space="preserve">Basado en datos secundarios del INE, FEGASACRUZ, IBCE y SENASAG, se identificaron los siguientes indicadores del mercado objetivo: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800"/>
        <w:gridCol w:w="2560"/>
      </w:tblGrid>
      <w:tr>
        <w:tc>
          <w:tcPr>
            <w:tcW w:type="dxa" w:w="3000"/>
            <w:tcBorders>
              <w:top w:val="single" w:color="AAAAAA" w:sz="1"/>
              <w:left w:val="single" w:color="AAAAAA" w:sz="1"/>
              <w:bottom w:val="single" w:color="AAAAAA" w:sz="1"/>
              <w:right w:val="single" w:color="AAAAAA" w:sz="1"/>
            </w:tcBorders>
            <w:shd w:fill="1565C0" w:val="clear"/>
            <w:tcMar>
              <w:top w:type="dxa" w:w="50"/>
              <w:left w:type="dxa" w:w="80"/>
              <w:bottom w:type="dxa" w:w="50"/>
              <w:right w:type="dxa" w:w="80"/>
            </w:tcMar>
            <w:vAlign w:val="center"/>
          </w:tcPr>
          <w:p>
            <w:pPr>
              <w:spacing w:after="120" w:line="276"/>
            </w:pPr>
            <w:r>
              <w:rPr>
                <w:rFonts w:ascii="Arial" w:cs="Arial" w:eastAsia="Arial" w:hAnsi="Arial"/>
                <w:b/>
                <w:bCs/>
                <w:color w:val="FFFFFF"/>
                <w:sz w:val="18"/>
                <w:szCs w:val="18"/>
              </w:rPr>
              <w:t xml:space="preserve">Indicador</w:t>
            </w:r>
          </w:p>
        </w:tc>
        <w:tc>
          <w:tcPr>
            <w:tcW w:type="dxa" w:w="3800"/>
            <w:tcBorders>
              <w:top w:val="single" w:color="AAAAAA" w:sz="1"/>
              <w:left w:val="single" w:color="AAAAAA" w:sz="1"/>
              <w:bottom w:val="single" w:color="AAAAAA" w:sz="1"/>
              <w:right w:val="single" w:color="AAAAAA" w:sz="1"/>
            </w:tcBorders>
            <w:shd w:fill="1565C0" w:val="clear"/>
            <w:tcMar>
              <w:top w:type="dxa" w:w="50"/>
              <w:left w:type="dxa" w:w="80"/>
              <w:bottom w:type="dxa" w:w="50"/>
              <w:right w:type="dxa" w:w="80"/>
            </w:tcMar>
            <w:vAlign w:val="center"/>
          </w:tcPr>
          <w:p>
            <w:pPr>
              <w:spacing w:after="120" w:line="276"/>
            </w:pPr>
            <w:r>
              <w:rPr>
                <w:rFonts w:ascii="Arial" w:cs="Arial" w:eastAsia="Arial" w:hAnsi="Arial"/>
                <w:b/>
                <w:bCs/>
                <w:color w:val="FFFFFF"/>
                <w:sz w:val="18"/>
                <w:szCs w:val="18"/>
              </w:rPr>
              <w:t xml:space="preserve">Dato</w:t>
            </w:r>
          </w:p>
        </w:tc>
        <w:tc>
          <w:tcPr>
            <w:tcW w:type="dxa" w:w="2560"/>
            <w:tcBorders>
              <w:top w:val="single" w:color="AAAAAA" w:sz="1"/>
              <w:left w:val="single" w:color="AAAAAA" w:sz="1"/>
              <w:bottom w:val="single" w:color="AAAAAA" w:sz="1"/>
              <w:right w:val="single" w:color="AAAAAA" w:sz="1"/>
            </w:tcBorders>
            <w:shd w:fill="1565C0" w:val="clear"/>
            <w:tcMar>
              <w:top w:type="dxa" w:w="50"/>
              <w:left w:type="dxa" w:w="80"/>
              <w:bottom w:type="dxa" w:w="50"/>
              <w:right w:type="dxa" w:w="80"/>
            </w:tcMar>
            <w:vAlign w:val="center"/>
          </w:tcPr>
          <w:p>
            <w:pPr>
              <w:spacing w:after="120" w:line="276"/>
            </w:pPr>
            <w:r>
              <w:rPr>
                <w:rFonts w:ascii="Arial" w:cs="Arial" w:eastAsia="Arial" w:hAnsi="Arial"/>
                <w:b/>
                <w:bCs/>
                <w:color w:val="FFFFFF"/>
                <w:sz w:val="18"/>
                <w:szCs w:val="18"/>
              </w:rPr>
              <w:t xml:space="preserve">Fuente</w:t>
            </w:r>
          </w:p>
        </w:tc>
      </w:tr>
      <w:tr>
        <w:tc>
          <w:tcPr>
            <w:tcW w:type="dxa" w:w="3000"/>
            <w:tcBorders>
              <w:top w:val="single" w:color="AAAAAA" w:sz="1"/>
              <w:left w:val="single" w:color="AAAAAA" w:sz="1"/>
              <w:bottom w:val="single" w:color="AAAAAA" w:sz="1"/>
              <w:right w:val="single" w:color="AAAAAA" w:sz="1"/>
            </w:tcBorders>
            <w:shd w:fill="E3F2FD" w:val="clear"/>
            <w:tcMar>
              <w:top w:type="dxa" w:w="50"/>
              <w:left w:type="dxa" w:w="80"/>
              <w:bottom w:type="dxa" w:w="50"/>
              <w:right w:type="dxa" w:w="80"/>
            </w:tcMar>
            <w:vAlign w:val="center"/>
          </w:tcPr>
          <w:p>
            <w:pPr>
              <w:spacing w:after="120" w:line="276"/>
            </w:pPr>
            <w:r>
              <w:rPr>
                <w:rFonts w:ascii="Arial" w:cs="Arial" w:eastAsia="Arial" w:hAnsi="Arial"/>
                <w:b/>
                <w:bCs/>
                <w:color w:val="333333"/>
                <w:sz w:val="18"/>
                <w:szCs w:val="18"/>
              </w:rPr>
              <w:t xml:space="preserve">Hato ganadero SCZ</w:t>
            </w:r>
          </w:p>
        </w:tc>
        <w:tc>
          <w:tcPr>
            <w:tcW w:type="dxa" w:w="3800"/>
            <w:tcBorders>
              <w:top w:val="single" w:color="AAAAAA" w:sz="1"/>
              <w:left w:val="single" w:color="AAAAAA" w:sz="1"/>
              <w:bottom w:val="single" w:color="AAAAAA" w:sz="1"/>
              <w:right w:val="single" w:color="AAAAAA" w:sz="1"/>
            </w:tcBorders>
            <w:shd w:fill="E3F2FD" w:val="clear"/>
            <w:tcMar>
              <w:top w:type="dxa" w:w="50"/>
              <w:left w:type="dxa" w:w="80"/>
              <w:bottom w:type="dxa" w:w="50"/>
              <w:right w:type="dxa" w:w="80"/>
            </w:tcMar>
            <w:vAlign w:val="center"/>
          </w:tcPr>
          <w:p>
            <w:pPr>
              <w:spacing w:after="120" w:line="276"/>
            </w:pPr>
            <w:r>
              <w:rPr>
                <w:rFonts w:ascii="Arial" w:cs="Arial" w:eastAsia="Arial" w:hAnsi="Arial"/>
                <w:b/>
                <w:bCs/>
                <w:color w:val="1565C0"/>
                <w:sz w:val="18"/>
                <w:szCs w:val="18"/>
              </w:rPr>
              <w:t xml:space="preserve">4.433.463 cabezas (44% nacional)</w:t>
            </w:r>
          </w:p>
        </w:tc>
        <w:tc>
          <w:tcPr>
            <w:tcW w:type="dxa" w:w="2560"/>
            <w:tcBorders>
              <w:top w:val="single" w:color="AAAAAA" w:sz="1"/>
              <w:left w:val="single" w:color="AAAAAA" w:sz="1"/>
              <w:bottom w:val="single" w:color="AAAAAA" w:sz="1"/>
              <w:right w:val="single" w:color="AAAAAA" w:sz="1"/>
            </w:tcBorders>
            <w:shd w:fill="E3F2FD" w:val="clear"/>
            <w:tcMar>
              <w:top w:type="dxa" w:w="50"/>
              <w:left w:type="dxa" w:w="80"/>
              <w:bottom w:type="dxa" w:w="50"/>
              <w:right w:type="dxa" w:w="80"/>
            </w:tcMar>
            <w:vAlign w:val="center"/>
          </w:tcPr>
          <w:p>
            <w:pPr>
              <w:spacing w:after="120" w:line="276"/>
            </w:pPr>
            <w:r>
              <w:rPr>
                <w:rFonts w:ascii="Arial" w:cs="Arial" w:eastAsia="Arial" w:hAnsi="Arial"/>
                <w:color w:val="333333"/>
                <w:sz w:val="16"/>
                <w:szCs w:val="16"/>
              </w:rPr>
              <w:t xml:space="preserve">INE/FEGASACRUZ 2024</w:t>
            </w:r>
          </w:p>
        </w:tc>
      </w:tr>
      <w:tr>
        <w:tc>
          <w:tcPr>
            <w:tcW w:type="dxa" w:w="30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20" w:line="276"/>
            </w:pPr>
            <w:r>
              <w:rPr>
                <w:rFonts w:ascii="Arial" w:cs="Arial" w:eastAsia="Arial" w:hAnsi="Arial"/>
                <w:b/>
                <w:bCs/>
                <w:color w:val="333333"/>
                <w:sz w:val="18"/>
                <w:szCs w:val="18"/>
              </w:rPr>
              <w:t xml:space="preserve">Cabezas faenadas/año</w:t>
            </w:r>
          </w:p>
        </w:tc>
        <w:tc>
          <w:tcPr>
            <w:tcW w:type="dxa" w:w="38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20" w:line="276"/>
            </w:pPr>
            <w:r>
              <w:rPr>
                <w:rFonts w:ascii="Arial" w:cs="Arial" w:eastAsia="Arial" w:hAnsi="Arial"/>
                <w:b/>
                <w:bCs/>
                <w:color w:val="1565C0"/>
                <w:sz w:val="18"/>
                <w:szCs w:val="18"/>
              </w:rPr>
              <w:t xml:space="preserve">673.948 (50% nacional)</w:t>
            </w:r>
          </w:p>
        </w:tc>
        <w:tc>
          <w:tcPr>
            <w:tcW w:type="dxa" w:w="256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20" w:line="276"/>
            </w:pPr>
            <w:r>
              <w:rPr>
                <w:rFonts w:ascii="Arial" w:cs="Arial" w:eastAsia="Arial" w:hAnsi="Arial"/>
                <w:color w:val="333333"/>
                <w:sz w:val="16"/>
                <w:szCs w:val="16"/>
              </w:rPr>
              <w:t xml:space="preserve">SENASAG 2024</w:t>
            </w:r>
          </w:p>
        </w:tc>
      </w:tr>
      <w:tr>
        <w:tc>
          <w:tcPr>
            <w:tcW w:type="dxa" w:w="3000"/>
            <w:tcBorders>
              <w:top w:val="single" w:color="AAAAAA" w:sz="1"/>
              <w:left w:val="single" w:color="AAAAAA" w:sz="1"/>
              <w:bottom w:val="single" w:color="AAAAAA" w:sz="1"/>
              <w:right w:val="single" w:color="AAAAAA" w:sz="1"/>
            </w:tcBorders>
            <w:shd w:fill="E3F2FD" w:val="clear"/>
            <w:tcMar>
              <w:top w:type="dxa" w:w="50"/>
              <w:left w:type="dxa" w:w="80"/>
              <w:bottom w:type="dxa" w:w="50"/>
              <w:right w:type="dxa" w:w="80"/>
            </w:tcMar>
            <w:vAlign w:val="center"/>
          </w:tcPr>
          <w:p>
            <w:pPr>
              <w:spacing w:after="120" w:line="276"/>
            </w:pPr>
            <w:r>
              <w:rPr>
                <w:rFonts w:ascii="Arial" w:cs="Arial" w:eastAsia="Arial" w:hAnsi="Arial"/>
                <w:b/>
                <w:bCs/>
                <w:color w:val="333333"/>
                <w:sz w:val="18"/>
                <w:szCs w:val="18"/>
              </w:rPr>
              <w:t xml:space="preserve">Valor sector ganadero SCZ</w:t>
            </w:r>
          </w:p>
        </w:tc>
        <w:tc>
          <w:tcPr>
            <w:tcW w:type="dxa" w:w="3800"/>
            <w:tcBorders>
              <w:top w:val="single" w:color="AAAAAA" w:sz="1"/>
              <w:left w:val="single" w:color="AAAAAA" w:sz="1"/>
              <w:bottom w:val="single" w:color="AAAAAA" w:sz="1"/>
              <w:right w:val="single" w:color="AAAAAA" w:sz="1"/>
            </w:tcBorders>
            <w:shd w:fill="E3F2FD" w:val="clear"/>
            <w:tcMar>
              <w:top w:type="dxa" w:w="50"/>
              <w:left w:type="dxa" w:w="80"/>
              <w:bottom w:type="dxa" w:w="50"/>
              <w:right w:type="dxa" w:w="80"/>
            </w:tcMar>
            <w:vAlign w:val="center"/>
          </w:tcPr>
          <w:p>
            <w:pPr>
              <w:spacing w:after="120" w:line="276"/>
            </w:pPr>
            <w:r>
              <w:rPr>
                <w:rFonts w:ascii="Arial" w:cs="Arial" w:eastAsia="Arial" w:hAnsi="Arial"/>
                <w:b/>
                <w:bCs/>
                <w:color w:val="1565C0"/>
                <w:sz w:val="18"/>
                <w:szCs w:val="18"/>
              </w:rPr>
              <w:t xml:space="preserve">$403 millones USD/año</w:t>
            </w:r>
          </w:p>
        </w:tc>
        <w:tc>
          <w:tcPr>
            <w:tcW w:type="dxa" w:w="2560"/>
            <w:tcBorders>
              <w:top w:val="single" w:color="AAAAAA" w:sz="1"/>
              <w:left w:val="single" w:color="AAAAAA" w:sz="1"/>
              <w:bottom w:val="single" w:color="AAAAAA" w:sz="1"/>
              <w:right w:val="single" w:color="AAAAAA" w:sz="1"/>
            </w:tcBorders>
            <w:shd w:fill="E3F2FD" w:val="clear"/>
            <w:tcMar>
              <w:top w:type="dxa" w:w="50"/>
              <w:left w:type="dxa" w:w="80"/>
              <w:bottom w:type="dxa" w:w="50"/>
              <w:right w:type="dxa" w:w="80"/>
            </w:tcMar>
            <w:vAlign w:val="center"/>
          </w:tcPr>
          <w:p>
            <w:pPr>
              <w:spacing w:after="120" w:line="276"/>
            </w:pPr>
            <w:r>
              <w:rPr>
                <w:rFonts w:ascii="Arial" w:cs="Arial" w:eastAsia="Arial" w:hAnsi="Arial"/>
                <w:color w:val="333333"/>
                <w:sz w:val="16"/>
                <w:szCs w:val="16"/>
              </w:rPr>
              <w:t xml:space="preserve">IBCE 2021</w:t>
            </w:r>
          </w:p>
        </w:tc>
      </w:tr>
      <w:tr>
        <w:tc>
          <w:tcPr>
            <w:tcW w:type="dxa" w:w="30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20" w:line="276"/>
            </w:pPr>
            <w:r>
              <w:rPr>
                <w:rFonts w:ascii="Arial" w:cs="Arial" w:eastAsia="Arial" w:hAnsi="Arial"/>
                <w:b/>
                <w:bCs/>
                <w:color w:val="333333"/>
                <w:sz w:val="18"/>
                <w:szCs w:val="18"/>
              </w:rPr>
              <w:t xml:space="preserve">Ganaderos agremiados FEGASACRUZ</w:t>
            </w:r>
          </w:p>
        </w:tc>
        <w:tc>
          <w:tcPr>
            <w:tcW w:type="dxa" w:w="38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20" w:line="276"/>
            </w:pPr>
            <w:r>
              <w:rPr>
                <w:rFonts w:ascii="Arial" w:cs="Arial" w:eastAsia="Arial" w:hAnsi="Arial"/>
                <w:b/>
                <w:bCs/>
                <w:color w:val="1565C0"/>
                <w:sz w:val="18"/>
                <w:szCs w:val="18"/>
              </w:rPr>
              <w:t xml:space="preserve">~15.000 productores</w:t>
            </w:r>
          </w:p>
        </w:tc>
        <w:tc>
          <w:tcPr>
            <w:tcW w:type="dxa" w:w="256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20" w:line="276"/>
            </w:pPr>
            <w:r>
              <w:rPr>
                <w:rFonts w:ascii="Arial" w:cs="Arial" w:eastAsia="Arial" w:hAnsi="Arial"/>
                <w:color w:val="333333"/>
                <w:sz w:val="16"/>
                <w:szCs w:val="16"/>
              </w:rPr>
              <w:t xml:space="preserve">FEGASACRUZ</w:t>
            </w:r>
          </w:p>
        </w:tc>
      </w:tr>
      <w:tr>
        <w:tc>
          <w:tcPr>
            <w:tcW w:type="dxa" w:w="3000"/>
            <w:tcBorders>
              <w:top w:val="single" w:color="AAAAAA" w:sz="1"/>
              <w:left w:val="single" w:color="AAAAAA" w:sz="1"/>
              <w:bottom w:val="single" w:color="AAAAAA" w:sz="1"/>
              <w:right w:val="single" w:color="AAAAAA" w:sz="1"/>
            </w:tcBorders>
            <w:shd w:fill="E3F2FD" w:val="clear"/>
            <w:tcMar>
              <w:top w:type="dxa" w:w="50"/>
              <w:left w:type="dxa" w:w="80"/>
              <w:bottom w:type="dxa" w:w="50"/>
              <w:right w:type="dxa" w:w="80"/>
            </w:tcMar>
            <w:vAlign w:val="center"/>
          </w:tcPr>
          <w:p>
            <w:pPr>
              <w:spacing w:after="120" w:line="276"/>
            </w:pPr>
            <w:r>
              <w:rPr>
                <w:rFonts w:ascii="Arial" w:cs="Arial" w:eastAsia="Arial" w:hAnsi="Arial"/>
                <w:b/>
                <w:bCs/>
                <w:color w:val="333333"/>
                <w:sz w:val="18"/>
                <w:szCs w:val="18"/>
              </w:rPr>
              <w:t xml:space="preserve">Consumo suplemento/cabeza sequía</w:t>
            </w:r>
          </w:p>
        </w:tc>
        <w:tc>
          <w:tcPr>
            <w:tcW w:type="dxa" w:w="3800"/>
            <w:tcBorders>
              <w:top w:val="single" w:color="AAAAAA" w:sz="1"/>
              <w:left w:val="single" w:color="AAAAAA" w:sz="1"/>
              <w:bottom w:val="single" w:color="AAAAAA" w:sz="1"/>
              <w:right w:val="single" w:color="AAAAAA" w:sz="1"/>
            </w:tcBorders>
            <w:shd w:fill="E3F2FD" w:val="clear"/>
            <w:tcMar>
              <w:top w:type="dxa" w:w="50"/>
              <w:left w:type="dxa" w:w="80"/>
              <w:bottom w:type="dxa" w:w="50"/>
              <w:right w:type="dxa" w:w="80"/>
            </w:tcMar>
            <w:vAlign w:val="center"/>
          </w:tcPr>
          <w:p>
            <w:pPr>
              <w:spacing w:after="120" w:line="276"/>
            </w:pPr>
            <w:r>
              <w:rPr>
                <w:rFonts w:ascii="Arial" w:cs="Arial" w:eastAsia="Arial" w:hAnsi="Arial"/>
                <w:b/>
                <w:bCs/>
                <w:color w:val="1565C0"/>
                <w:sz w:val="18"/>
                <w:szCs w:val="18"/>
              </w:rPr>
              <w:t xml:space="preserve">1-2 kg/día durante 150 días</w:t>
            </w:r>
          </w:p>
        </w:tc>
        <w:tc>
          <w:tcPr>
            <w:tcW w:type="dxa" w:w="2560"/>
            <w:tcBorders>
              <w:top w:val="single" w:color="AAAAAA" w:sz="1"/>
              <w:left w:val="single" w:color="AAAAAA" w:sz="1"/>
              <w:bottom w:val="single" w:color="AAAAAA" w:sz="1"/>
              <w:right w:val="single" w:color="AAAAAA" w:sz="1"/>
            </w:tcBorders>
            <w:shd w:fill="E3F2FD" w:val="clear"/>
            <w:tcMar>
              <w:top w:type="dxa" w:w="50"/>
              <w:left w:type="dxa" w:w="80"/>
              <w:bottom w:type="dxa" w:w="50"/>
              <w:right w:type="dxa" w:w="80"/>
            </w:tcMar>
            <w:vAlign w:val="center"/>
          </w:tcPr>
          <w:p>
            <w:pPr>
              <w:spacing w:after="120" w:line="276"/>
            </w:pPr>
            <w:r>
              <w:rPr>
                <w:rFonts w:ascii="Arial" w:cs="Arial" w:eastAsia="Arial" w:hAnsi="Arial"/>
                <w:color w:val="333333"/>
                <w:sz w:val="16"/>
                <w:szCs w:val="16"/>
              </w:rPr>
              <w:t xml:space="preserve">Fedegán Colombia</w:t>
            </w:r>
          </w:p>
        </w:tc>
      </w:tr>
      <w:tr>
        <w:tc>
          <w:tcPr>
            <w:tcW w:type="dxa" w:w="30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20" w:line="276"/>
            </w:pPr>
            <w:r>
              <w:rPr>
                <w:rFonts w:ascii="Arial" w:cs="Arial" w:eastAsia="Arial" w:hAnsi="Arial"/>
                <w:b/>
                <w:bCs/>
                <w:color w:val="333333"/>
                <w:sz w:val="18"/>
                <w:szCs w:val="18"/>
              </w:rPr>
              <w:t xml:space="preserve">Precio balanceado comercial</w:t>
            </w:r>
          </w:p>
        </w:tc>
        <w:tc>
          <w:tcPr>
            <w:tcW w:type="dxa" w:w="38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20" w:line="276"/>
            </w:pPr>
            <w:r>
              <w:rPr>
                <w:rFonts w:ascii="Arial" w:cs="Arial" w:eastAsia="Arial" w:hAnsi="Arial"/>
                <w:b/>
                <w:bCs/>
                <w:color w:val="1565C0"/>
                <w:sz w:val="18"/>
                <w:szCs w:val="18"/>
              </w:rPr>
              <w:t xml:space="preserve">Bs 5-8/kg ($0.72-1.15/kg)</w:t>
            </w:r>
          </w:p>
        </w:tc>
        <w:tc>
          <w:tcPr>
            <w:tcW w:type="dxa" w:w="256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20" w:line="276"/>
            </w:pPr>
            <w:r>
              <w:rPr>
                <w:rFonts w:ascii="Arial" w:cs="Arial" w:eastAsia="Arial" w:hAnsi="Arial"/>
                <w:color w:val="333333"/>
                <w:sz w:val="16"/>
                <w:szCs w:val="16"/>
              </w:rPr>
              <w:t xml:space="preserve">Mercado local SCZ</w:t>
            </w:r>
          </w:p>
        </w:tc>
      </w:tr>
      <w:tr>
        <w:tc>
          <w:tcPr>
            <w:tcW w:type="dxa" w:w="3000"/>
            <w:tcBorders>
              <w:top w:val="single" w:color="AAAAAA" w:sz="1"/>
              <w:left w:val="single" w:color="AAAAAA" w:sz="1"/>
              <w:bottom w:val="single" w:color="AAAAAA" w:sz="1"/>
              <w:right w:val="single" w:color="AAAAAA" w:sz="1"/>
            </w:tcBorders>
            <w:shd w:fill="E3F2FD" w:val="clear"/>
            <w:tcMar>
              <w:top w:type="dxa" w:w="50"/>
              <w:left w:type="dxa" w:w="80"/>
              <w:bottom w:type="dxa" w:w="50"/>
              <w:right w:type="dxa" w:w="80"/>
            </w:tcMar>
            <w:vAlign w:val="center"/>
          </w:tcPr>
          <w:p>
            <w:pPr>
              <w:spacing w:after="120" w:line="276"/>
            </w:pPr>
            <w:r>
              <w:rPr>
                <w:rFonts w:ascii="Arial" w:cs="Arial" w:eastAsia="Arial" w:hAnsi="Arial"/>
                <w:b/>
                <w:bCs/>
                <w:color w:val="333333"/>
                <w:sz w:val="18"/>
                <w:szCs w:val="18"/>
              </w:rPr>
              <w:t xml:space="preserve">Precio BMN NutriCiclo</w:t>
            </w:r>
          </w:p>
        </w:tc>
        <w:tc>
          <w:tcPr>
            <w:tcW w:type="dxa" w:w="3800"/>
            <w:tcBorders>
              <w:top w:val="single" w:color="AAAAAA" w:sz="1"/>
              <w:left w:val="single" w:color="AAAAAA" w:sz="1"/>
              <w:bottom w:val="single" w:color="AAAAAA" w:sz="1"/>
              <w:right w:val="single" w:color="AAAAAA" w:sz="1"/>
            </w:tcBorders>
            <w:shd w:fill="E3F2FD" w:val="clear"/>
            <w:tcMar>
              <w:top w:type="dxa" w:w="50"/>
              <w:left w:type="dxa" w:w="80"/>
              <w:bottom w:type="dxa" w:w="50"/>
              <w:right w:type="dxa" w:w="80"/>
            </w:tcMar>
            <w:vAlign w:val="center"/>
          </w:tcPr>
          <w:p>
            <w:pPr>
              <w:spacing w:after="120" w:line="276"/>
            </w:pPr>
            <w:r>
              <w:rPr>
                <w:rFonts w:ascii="Arial" w:cs="Arial" w:eastAsia="Arial" w:hAnsi="Arial"/>
                <w:b/>
                <w:bCs/>
                <w:color w:val="1565C0"/>
                <w:sz w:val="18"/>
                <w:szCs w:val="18"/>
              </w:rPr>
              <w:t xml:space="preserve">Bs 4-6/kg ($0.57-0.86/kg)</w:t>
            </w:r>
          </w:p>
        </w:tc>
        <w:tc>
          <w:tcPr>
            <w:tcW w:type="dxa" w:w="2560"/>
            <w:tcBorders>
              <w:top w:val="single" w:color="AAAAAA" w:sz="1"/>
              <w:left w:val="single" w:color="AAAAAA" w:sz="1"/>
              <w:bottom w:val="single" w:color="AAAAAA" w:sz="1"/>
              <w:right w:val="single" w:color="AAAAAA" w:sz="1"/>
            </w:tcBorders>
            <w:shd w:fill="E3F2FD" w:val="clear"/>
            <w:tcMar>
              <w:top w:type="dxa" w:w="50"/>
              <w:left w:type="dxa" w:w="80"/>
              <w:bottom w:type="dxa" w:w="50"/>
              <w:right w:type="dxa" w:w="80"/>
            </w:tcMar>
            <w:vAlign w:val="center"/>
          </w:tcPr>
          <w:p>
            <w:pPr>
              <w:spacing w:after="120" w:line="276"/>
            </w:pPr>
            <w:r>
              <w:rPr>
                <w:rFonts w:ascii="Arial" w:cs="Arial" w:eastAsia="Arial" w:hAnsi="Arial"/>
                <w:color w:val="333333"/>
                <w:sz w:val="16"/>
                <w:szCs w:val="16"/>
              </w:rPr>
              <w:t xml:space="preserve">Estimación propia</w:t>
            </w:r>
          </w:p>
        </w:tc>
      </w:tr>
      <w:tr>
        <w:tc>
          <w:tcPr>
            <w:tcW w:type="dxa" w:w="30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20" w:line="276"/>
            </w:pPr>
            <w:r>
              <w:rPr>
                <w:rFonts w:ascii="Arial" w:cs="Arial" w:eastAsia="Arial" w:hAnsi="Arial"/>
                <w:b/>
                <w:bCs/>
                <w:color w:val="333333"/>
                <w:sz w:val="18"/>
                <w:szCs w:val="18"/>
              </w:rPr>
              <w:t xml:space="preserve">Mercado BSF global 2025</w:t>
            </w:r>
          </w:p>
        </w:tc>
        <w:tc>
          <w:tcPr>
            <w:tcW w:type="dxa" w:w="38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20" w:line="276"/>
            </w:pPr>
            <w:r>
              <w:rPr>
                <w:rFonts w:ascii="Arial" w:cs="Arial" w:eastAsia="Arial" w:hAnsi="Arial"/>
                <w:b/>
                <w:bCs/>
                <w:color w:val="1565C0"/>
                <w:sz w:val="18"/>
                <w:szCs w:val="18"/>
              </w:rPr>
              <w:t xml:space="preserve">$770 millones USD</w:t>
            </w:r>
          </w:p>
        </w:tc>
        <w:tc>
          <w:tcPr>
            <w:tcW w:type="dxa" w:w="256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20" w:line="276"/>
            </w:pPr>
            <w:r>
              <w:rPr>
                <w:rFonts w:ascii="Arial" w:cs="Arial" w:eastAsia="Arial" w:hAnsi="Arial"/>
                <w:color w:val="333333"/>
                <w:sz w:val="16"/>
                <w:szCs w:val="16"/>
              </w:rPr>
              <w:t xml:space="preserve">Business Research Insights</w:t>
            </w:r>
          </w:p>
        </w:tc>
      </w:tr>
      <w:tr>
        <w:tc>
          <w:tcPr>
            <w:tcW w:type="dxa" w:w="3000"/>
            <w:tcBorders>
              <w:top w:val="single" w:color="AAAAAA" w:sz="1"/>
              <w:left w:val="single" w:color="AAAAAA" w:sz="1"/>
              <w:bottom w:val="single" w:color="AAAAAA" w:sz="1"/>
              <w:right w:val="single" w:color="AAAAAA" w:sz="1"/>
            </w:tcBorders>
            <w:shd w:fill="E3F2FD" w:val="clear"/>
            <w:tcMar>
              <w:top w:type="dxa" w:w="50"/>
              <w:left w:type="dxa" w:w="80"/>
              <w:bottom w:type="dxa" w:w="50"/>
              <w:right w:type="dxa" w:w="80"/>
            </w:tcMar>
            <w:vAlign w:val="center"/>
          </w:tcPr>
          <w:p>
            <w:pPr>
              <w:spacing w:after="120" w:line="276"/>
            </w:pPr>
            <w:r>
              <w:rPr>
                <w:rFonts w:ascii="Arial" w:cs="Arial" w:eastAsia="Arial" w:hAnsi="Arial"/>
                <w:b/>
                <w:bCs/>
                <w:color w:val="333333"/>
                <w:sz w:val="18"/>
                <w:szCs w:val="18"/>
              </w:rPr>
              <w:t xml:space="preserve">Crecimiento BSF proyectado</w:t>
            </w:r>
          </w:p>
        </w:tc>
        <w:tc>
          <w:tcPr>
            <w:tcW w:type="dxa" w:w="3800"/>
            <w:tcBorders>
              <w:top w:val="single" w:color="AAAAAA" w:sz="1"/>
              <w:left w:val="single" w:color="AAAAAA" w:sz="1"/>
              <w:bottom w:val="single" w:color="AAAAAA" w:sz="1"/>
              <w:right w:val="single" w:color="AAAAAA" w:sz="1"/>
            </w:tcBorders>
            <w:shd w:fill="E3F2FD" w:val="clear"/>
            <w:tcMar>
              <w:top w:type="dxa" w:w="50"/>
              <w:left w:type="dxa" w:w="80"/>
              <w:bottom w:type="dxa" w:w="50"/>
              <w:right w:type="dxa" w:w="80"/>
            </w:tcMar>
            <w:vAlign w:val="center"/>
          </w:tcPr>
          <w:p>
            <w:pPr>
              <w:spacing w:after="120" w:line="276"/>
            </w:pPr>
            <w:r>
              <w:rPr>
                <w:rFonts w:ascii="Arial" w:cs="Arial" w:eastAsia="Arial" w:hAnsi="Arial"/>
                <w:b/>
                <w:bCs/>
                <w:color w:val="1565C0"/>
                <w:sz w:val="18"/>
                <w:szCs w:val="18"/>
              </w:rPr>
              <w:t xml:space="preserve">32,4% anual (CAGR 2025-2035)</w:t>
            </w:r>
          </w:p>
        </w:tc>
        <w:tc>
          <w:tcPr>
            <w:tcW w:type="dxa" w:w="2560"/>
            <w:tcBorders>
              <w:top w:val="single" w:color="AAAAAA" w:sz="1"/>
              <w:left w:val="single" w:color="AAAAAA" w:sz="1"/>
              <w:bottom w:val="single" w:color="AAAAAA" w:sz="1"/>
              <w:right w:val="single" w:color="AAAAAA" w:sz="1"/>
            </w:tcBorders>
            <w:shd w:fill="E3F2FD" w:val="clear"/>
            <w:tcMar>
              <w:top w:type="dxa" w:w="50"/>
              <w:left w:type="dxa" w:w="80"/>
              <w:bottom w:type="dxa" w:w="50"/>
              <w:right w:type="dxa" w:w="80"/>
            </w:tcMar>
            <w:vAlign w:val="center"/>
          </w:tcPr>
          <w:p>
            <w:pPr>
              <w:spacing w:after="120" w:line="276"/>
            </w:pPr>
            <w:r>
              <w:rPr>
                <w:rFonts w:ascii="Arial" w:cs="Arial" w:eastAsia="Arial" w:hAnsi="Arial"/>
                <w:color w:val="333333"/>
                <w:sz w:val="16"/>
                <w:szCs w:val="16"/>
              </w:rPr>
              <w:t xml:space="preserve">Business Research Insights</w:t>
            </w:r>
          </w:p>
        </w:tc>
      </w:tr>
      <w:tr>
        <w:tc>
          <w:tcPr>
            <w:tcW w:type="dxa" w:w="30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20" w:line="276"/>
            </w:pPr>
            <w:r>
              <w:rPr>
                <w:rFonts w:ascii="Arial" w:cs="Arial" w:eastAsia="Arial" w:hAnsi="Arial"/>
                <w:b/>
                <w:bCs/>
                <w:color w:val="333333"/>
                <w:sz w:val="18"/>
                <w:szCs w:val="18"/>
              </w:rPr>
              <w:t xml:space="preserve">Residuos matadero sin gestión</w:t>
            </w:r>
          </w:p>
        </w:tc>
        <w:tc>
          <w:tcPr>
            <w:tcW w:type="dxa" w:w="38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20" w:line="276"/>
            </w:pPr>
            <w:r>
              <w:rPr>
                <w:rFonts w:ascii="Arial" w:cs="Arial" w:eastAsia="Arial" w:hAnsi="Arial"/>
                <w:b/>
                <w:bCs/>
                <w:color w:val="1565C0"/>
                <w:sz w:val="18"/>
                <w:szCs w:val="18"/>
              </w:rPr>
              <w:t xml:space="preserve">&lt;5% se recicla (&gt;20.000 tn/año)</w:t>
            </w:r>
          </w:p>
        </w:tc>
        <w:tc>
          <w:tcPr>
            <w:tcW w:type="dxa" w:w="256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20" w:line="276"/>
            </w:pPr>
            <w:r>
              <w:rPr>
                <w:rFonts w:ascii="Arial" w:cs="Arial" w:eastAsia="Arial" w:hAnsi="Arial"/>
                <w:color w:val="333333"/>
                <w:sz w:val="16"/>
                <w:szCs w:val="16"/>
              </w:rPr>
              <w:t xml:space="preserve">ECORFAN / estimación</w:t>
            </w:r>
          </w:p>
        </w:tc>
      </w:tr>
    </w:tbl>
    <w:p>
      <w:pPr>
        <w:spacing w:after="80"/>
      </w:pPr>
      <w:r>
        <w:rPr>
          <w:rFonts w:ascii="Arial" w:cs="Arial" w:eastAsia="Arial" w:hAnsi="Arial"/>
          <w:color w:val="333333"/>
          <w:sz w:val="24"/>
          <w:szCs w:val="24"/>
        </w:rPr>
        <w:t xml:space="preserve"/>
      </w:r>
    </w:p>
    <w:p>
      <w:pPr>
        <w:pStyle w:val="Heading3"/>
        <w:spacing w:before="160" w:after="120"/>
      </w:pPr>
      <w:r>
        <w:rPr>
          <w:rFonts w:ascii="Arial" w:cs="Arial" w:eastAsia="Arial" w:hAnsi="Arial"/>
          <w:b/>
          <w:bCs/>
          <w:color w:val="E65100"/>
          <w:sz w:val="24"/>
          <w:szCs w:val="24"/>
        </w:rPr>
        <w:t xml:space="preserve">1.6 Análisis de la competencia</w:t>
      </w:r>
    </w:p>
    <w:p>
      <w:pPr>
        <w:spacing w:after="140" w:line="300"/>
      </w:pPr>
      <w:r>
        <w:rPr>
          <w:rFonts w:ascii="Arial" w:cs="Arial" w:eastAsia="Arial" w:hAnsi="Arial"/>
          <w:color w:val="333333"/>
          <w:sz w:val="24"/>
          <w:szCs w:val="24"/>
        </w:rPr>
        <w:t xml:space="preserve">No existe competidor directo en Bolivia que ofrezca BMN con proteína BSF. La competencia indirecta incluye: (a) Fábricas de balanceado comercial (precio Bs 5-8/kg, sin circularidad). (b) Bloques de sal mineral simples (sin proteína ni energía). (c) Ingenio Guabirá que vende melaza a granel sin procesar (no es producto terminado). (d) Bioconversión S.A. (Ecuador) produce harina BSF industrial pero no fabrica BMN. La ventaja competitiva de NutriCiclo es la integración vertical: recolección de residuos + producción de harinas + cría BSF + formulación + distribución, todo en una sola operación circular.</w:t>
      </w:r>
    </w:p>
    <w:p>
      <w:pPr>
        <w:pStyle w:val="Heading3"/>
        <w:spacing w:before="160" w:after="120"/>
      </w:pPr>
      <w:r>
        <w:rPr>
          <w:rFonts w:ascii="Arial" w:cs="Arial" w:eastAsia="Arial" w:hAnsi="Arial"/>
          <w:b/>
          <w:bCs/>
          <w:color w:val="E65100"/>
          <w:sz w:val="24"/>
          <w:szCs w:val="24"/>
        </w:rPr>
        <w:t xml:space="preserve">1.7 Demanda potencial y efectiva</w:t>
      </w:r>
    </w:p>
    <w:p>
      <w:pPr>
        <w:spacing w:after="140" w:line="300"/>
      </w:pPr>
      <w:r>
        <w:rPr>
          <w:rFonts w:ascii="Arial" w:cs="Arial" w:eastAsia="Arial" w:hAnsi="Arial"/>
          <w:color w:val="333333"/>
          <w:sz w:val="24"/>
          <w:szCs w:val="24"/>
        </w:rPr>
        <w:t xml:space="preserve">Demanda potencial: 4,4 millones de cabezas × 1 kg/día × 150 días de sequía = 660.000 tn/año de suplemento necesario en SCZ. Demanda efectiva (conservadora, año 1): capturar 0,01% = 66 tn = 2.640 bloques de 25 kg. A precio promedio de Bs 125/bloque = Bs 330.000/año ($47.400 USD). Meta año 3: 0,05% del mercado = 330 tn = 13.200 bloques = Bs 1.650.000/año ($237.000 USD). La demanda se concentra en junio-noviembre (sequía) pero continúa todo el año para mantenimiento nutricional.</w:t>
      </w:r>
    </w:p>
    <w:p>
      <w:r>
        <w:br w:type="page"/>
      </w:r>
    </w:p>
    <w:p>
      <w:pPr>
        <w:pStyle w:val="Heading2"/>
        <w:spacing w:before="200" w:after="160"/>
      </w:pPr>
      <w:r>
        <w:rPr>
          <w:rFonts w:ascii="Arial" w:cs="Arial" w:eastAsia="Arial" w:hAnsi="Arial"/>
          <w:b/>
          <w:bCs/>
          <w:color w:val="1565C0"/>
          <w:sz w:val="26"/>
          <w:szCs w:val="26"/>
        </w:rPr>
        <w:t xml:space="preserve">CAPÍTULO 2: PLAN OPERATIVO</w:t>
      </w:r>
    </w:p>
    <w:p>
      <w:pPr>
        <w:spacing w:after="100"/>
      </w:pPr>
      <w:r>
        <w:rPr>
          <w:rFonts w:ascii="Arial" w:cs="Arial" w:eastAsia="Arial" w:hAnsi="Arial"/>
          <w:color w:val="666666"/>
          <w:sz w:val="20"/>
          <w:szCs w:val="20"/>
        </w:rPr>
        <w:t xml:space="preserve">MODELO CANVAS: Recursos Clave y Actividades Clave</w:t>
      </w:r>
    </w:p>
    <w:p>
      <w:pPr>
        <w:pStyle w:val="Heading3"/>
        <w:spacing w:before="160" w:after="120"/>
      </w:pPr>
      <w:r>
        <w:rPr>
          <w:rFonts w:ascii="Arial" w:cs="Arial" w:eastAsia="Arial" w:hAnsi="Arial"/>
          <w:b/>
          <w:bCs/>
          <w:color w:val="E65100"/>
          <w:sz w:val="24"/>
          <w:szCs w:val="24"/>
        </w:rPr>
        <w:t xml:space="preserve">2.1 Descripción del proceso productivo</w:t>
      </w:r>
    </w:p>
    <w:p>
      <w:pPr>
        <w:spacing w:after="140" w:line="300"/>
      </w:pPr>
      <w:r>
        <w:rPr>
          <w:rFonts w:ascii="Arial" w:cs="Arial" w:eastAsia="Arial" w:hAnsi="Arial"/>
          <w:color w:val="333333"/>
          <w:sz w:val="24"/>
          <w:szCs w:val="24"/>
        </w:rPr>
        <w:t xml:space="preserve">El proceso de fabricación consta de 10 pasos: (1) Recepción de MP: melaza en tanques 2.000L (Guabirá), sangre en tambores 200L (FRIGOR/municipal), huesos en sacos, cascarilla a granel, afrecho en sacos. (2) Procesamiento sangre: hervir 20 min → prensar → secar 60-70°C 8-12h → moler = harina 80% proteína. (3) Procesamiento huesos: calcinar 500-600°C 4h → enfriar → moler = harina 30% Ca + 15% P. (4) Cría BSF: vísceras en bandejas → larvas 10-14 días (25-30°C, 60-70% humedad, monitoreo IoT ESP32) → cosecha → deshidratar 70°C → moler = harina 42-50% proteína. (5) Pesado según fórmula. (6) Mezclado 2 fases: húmeda (melaza+urea+sal+azufre) + seca (cascarilla+afrecho+harinas), unir y agregar cal al final. (7) Moldeado en prensa hidráulica. (8) Fraguado 24h + secado 3-5 días. (9) Empaque termoencogible + etiqueta QR. (10) Distribución.</w:t>
      </w:r>
    </w:p>
    <w:p>
      <w:pPr>
        <w:pStyle w:val="Heading3"/>
        <w:spacing w:before="160" w:after="120"/>
      </w:pPr>
      <w:r>
        <w:rPr>
          <w:rFonts w:ascii="Arial" w:cs="Arial" w:eastAsia="Arial" w:hAnsi="Arial"/>
          <w:b/>
          <w:bCs/>
          <w:color w:val="E65100"/>
          <w:sz w:val="24"/>
          <w:szCs w:val="24"/>
        </w:rPr>
        <w:t xml:space="preserve">2.2 Diagrama de flujo del proceso</w:t>
      </w:r>
    </w:p>
    <w:p>
      <w:pPr>
        <w:spacing w:after="140" w:line="300"/>
      </w:pPr>
      <w:r>
        <w:rPr>
          <w:rFonts w:ascii="Arial" w:cs="Arial" w:eastAsia="Arial" w:hAnsi="Arial"/>
          <w:color w:val="333333"/>
          <w:sz w:val="24"/>
          <w:szCs w:val="24"/>
        </w:rPr>
        <w:t xml:space="preserve">Recepción MP → Procesamiento sangre/hueso → Cría BSF → Pesado → Mezclado Fase 1 (húmeda) → Mezclado Fase 2 (seca) → Unión + Cal → Moldeado → Fraguado 24h → Secado 3-5 días → Control calidad (dureza) → Empaque QR → Almacén → Distribución FEGASACRUZ/agropecuarias/ferias.</w:t>
      </w:r>
    </w:p>
    <w:p>
      <w:pPr>
        <w:pStyle w:val="Heading3"/>
        <w:spacing w:before="160" w:after="120"/>
      </w:pPr>
      <w:r>
        <w:rPr>
          <w:rFonts w:ascii="Arial" w:cs="Arial" w:eastAsia="Arial" w:hAnsi="Arial"/>
          <w:b/>
          <w:bCs/>
          <w:color w:val="E65100"/>
          <w:sz w:val="24"/>
          <w:szCs w:val="24"/>
        </w:rPr>
        <w:t xml:space="preserve">2.3 Equipo e instalaciones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1800"/>
        <w:gridCol w:w="2160"/>
      </w:tblGrid>
      <w:tr>
        <w:tc>
          <w:tcPr>
            <w:tcW w:type="dxa" w:w="2400"/>
            <w:tcBorders>
              <w:top w:val="single" w:color="AAAAAA" w:sz="1"/>
              <w:left w:val="single" w:color="AAAAAA" w:sz="1"/>
              <w:bottom w:val="single" w:color="AAAAAA" w:sz="1"/>
              <w:right w:val="single" w:color="AAAAAA" w:sz="1"/>
            </w:tcBorders>
            <w:shd w:fill="E65100" w:val="clear"/>
            <w:tcMar>
              <w:top w:type="dxa" w:w="50"/>
              <w:left w:type="dxa" w:w="80"/>
              <w:bottom w:type="dxa" w:w="50"/>
              <w:right w:type="dxa" w:w="80"/>
            </w:tcMar>
            <w:vAlign w:val="center"/>
          </w:tcPr>
          <w:p>
            <w:pPr>
              <w:spacing w:after="120" w:line="276"/>
            </w:pPr>
            <w:r>
              <w:rPr>
                <w:rFonts w:ascii="Arial" w:cs="Arial" w:eastAsia="Arial" w:hAnsi="Arial"/>
                <w:b/>
                <w:bCs/>
                <w:color w:val="FFFFFF"/>
                <w:sz w:val="16"/>
                <w:szCs w:val="16"/>
              </w:rPr>
              <w:t xml:space="preserve">Equipo</w:t>
            </w:r>
          </w:p>
        </w:tc>
        <w:tc>
          <w:tcPr>
            <w:tcW w:type="dxa" w:w="3000"/>
            <w:tcBorders>
              <w:top w:val="single" w:color="AAAAAA" w:sz="1"/>
              <w:left w:val="single" w:color="AAAAAA" w:sz="1"/>
              <w:bottom w:val="single" w:color="AAAAAA" w:sz="1"/>
              <w:right w:val="single" w:color="AAAAAA" w:sz="1"/>
            </w:tcBorders>
            <w:shd w:fill="E65100" w:val="clear"/>
            <w:tcMar>
              <w:top w:type="dxa" w:w="50"/>
              <w:left w:type="dxa" w:w="80"/>
              <w:bottom w:type="dxa" w:w="50"/>
              <w:right w:type="dxa" w:w="80"/>
            </w:tcMar>
            <w:vAlign w:val="center"/>
          </w:tcPr>
          <w:p>
            <w:pPr>
              <w:spacing w:after="120" w:line="276"/>
            </w:pPr>
            <w:r>
              <w:rPr>
                <w:rFonts w:ascii="Arial" w:cs="Arial" w:eastAsia="Arial" w:hAnsi="Arial"/>
                <w:b/>
                <w:bCs/>
                <w:color w:val="FFFFFF"/>
                <w:sz w:val="16"/>
                <w:szCs w:val="16"/>
              </w:rPr>
              <w:t xml:space="preserve">Función</w:t>
            </w:r>
          </w:p>
        </w:tc>
        <w:tc>
          <w:tcPr>
            <w:tcW w:type="dxa" w:w="1800"/>
            <w:tcBorders>
              <w:top w:val="single" w:color="AAAAAA" w:sz="1"/>
              <w:left w:val="single" w:color="AAAAAA" w:sz="1"/>
              <w:bottom w:val="single" w:color="AAAAAA" w:sz="1"/>
              <w:right w:val="single" w:color="AAAAAA" w:sz="1"/>
            </w:tcBorders>
            <w:shd w:fill="E65100" w:val="clear"/>
            <w:tcMar>
              <w:top w:type="dxa" w:w="50"/>
              <w:left w:type="dxa" w:w="80"/>
              <w:bottom w:type="dxa" w:w="50"/>
              <w:right w:type="dxa" w:w="80"/>
            </w:tcMar>
            <w:vAlign w:val="center"/>
          </w:tcPr>
          <w:p>
            <w:pPr>
              <w:spacing w:after="120" w:line="276"/>
            </w:pPr>
            <w:r>
              <w:rPr>
                <w:rFonts w:ascii="Arial" w:cs="Arial" w:eastAsia="Arial" w:hAnsi="Arial"/>
                <w:b/>
                <w:bCs/>
                <w:color w:val="FFFFFF"/>
                <w:sz w:val="16"/>
                <w:szCs w:val="16"/>
              </w:rPr>
              <w:t xml:space="preserve">Costo USD</w:t>
            </w:r>
          </w:p>
        </w:tc>
        <w:tc>
          <w:tcPr>
            <w:tcW w:type="dxa" w:w="2160"/>
            <w:tcBorders>
              <w:top w:val="single" w:color="AAAAAA" w:sz="1"/>
              <w:left w:val="single" w:color="AAAAAA" w:sz="1"/>
              <w:bottom w:val="single" w:color="AAAAAA" w:sz="1"/>
              <w:right w:val="single" w:color="AAAAAA" w:sz="1"/>
            </w:tcBorders>
            <w:shd w:fill="E65100" w:val="clear"/>
            <w:tcMar>
              <w:top w:type="dxa" w:w="50"/>
              <w:left w:type="dxa" w:w="80"/>
              <w:bottom w:type="dxa" w:w="50"/>
              <w:right w:type="dxa" w:w="80"/>
            </w:tcMar>
            <w:vAlign w:val="center"/>
          </w:tcPr>
          <w:p>
            <w:pPr>
              <w:spacing w:after="120" w:line="276"/>
            </w:pPr>
            <w:r>
              <w:rPr>
                <w:rFonts w:ascii="Arial" w:cs="Arial" w:eastAsia="Arial" w:hAnsi="Arial"/>
                <w:b/>
                <w:bCs/>
                <w:color w:val="FFFFFF"/>
                <w:sz w:val="16"/>
                <w:szCs w:val="16"/>
              </w:rPr>
              <w:t xml:space="preserve">Cant.</w:t>
            </w:r>
          </w:p>
        </w:tc>
      </w:tr>
      <w:tr>
        <w:tc>
          <w:tcPr>
            <w:tcW w:type="dxa" w:w="2400"/>
            <w:tcBorders>
              <w:top w:val="single" w:color="AAAAAA" w:sz="1"/>
              <w:left w:val="single" w:color="AAAAAA" w:sz="1"/>
              <w:bottom w:val="single" w:color="AAAAAA" w:sz="1"/>
              <w:right w:val="single" w:color="AAAAAA" w:sz="1"/>
            </w:tcBorders>
            <w:shd w:fill="FFF3E0" w:val="clear"/>
            <w:tcMar>
              <w:top w:type="dxa" w:w="50"/>
              <w:left w:type="dxa" w:w="80"/>
              <w:bottom w:type="dxa" w:w="50"/>
              <w:right w:type="dxa" w:w="80"/>
            </w:tcMar>
            <w:vAlign w:val="center"/>
          </w:tcPr>
          <w:p>
            <w:pPr>
              <w:spacing w:after="120" w:line="276"/>
            </w:pPr>
            <w:r>
              <w:rPr>
                <w:rFonts w:ascii="Arial" w:cs="Arial" w:eastAsia="Arial" w:hAnsi="Arial"/>
                <w:b w:val="false"/>
                <w:bCs w:val="false"/>
                <w:color w:val="333333"/>
                <w:sz w:val="16"/>
                <w:szCs w:val="16"/>
              </w:rPr>
              <w:t xml:space="preserve">Molino de martillos</w:t>
            </w:r>
          </w:p>
        </w:tc>
        <w:tc>
          <w:tcPr>
            <w:tcW w:type="dxa" w:w="3000"/>
            <w:tcBorders>
              <w:top w:val="single" w:color="AAAAAA" w:sz="1"/>
              <w:left w:val="single" w:color="AAAAAA" w:sz="1"/>
              <w:bottom w:val="single" w:color="AAAAAA" w:sz="1"/>
              <w:right w:val="single" w:color="AAAAAA" w:sz="1"/>
            </w:tcBorders>
            <w:shd w:fill="FFF3E0" w:val="clear"/>
            <w:tcMar>
              <w:top w:type="dxa" w:w="50"/>
              <w:left w:type="dxa" w:w="80"/>
              <w:bottom w:type="dxa" w:w="50"/>
              <w:right w:type="dxa" w:w="80"/>
            </w:tcMar>
            <w:vAlign w:val="center"/>
          </w:tcPr>
          <w:p>
            <w:pPr>
              <w:spacing w:after="120" w:line="276"/>
            </w:pPr>
            <w:r>
              <w:rPr>
                <w:rFonts w:ascii="Arial" w:cs="Arial" w:eastAsia="Arial" w:hAnsi="Arial"/>
                <w:color w:val="333333"/>
                <w:sz w:val="16"/>
                <w:szCs w:val="16"/>
              </w:rPr>
              <w:t xml:space="preserve">Moler cascarilla, sangre seca, hueso, BSF</w:t>
            </w:r>
          </w:p>
        </w:tc>
        <w:tc>
          <w:tcPr>
            <w:tcW w:type="dxa" w:w="1800"/>
            <w:tcBorders>
              <w:top w:val="single" w:color="AAAAAA" w:sz="1"/>
              <w:left w:val="single" w:color="AAAAAA" w:sz="1"/>
              <w:bottom w:val="single" w:color="AAAAAA" w:sz="1"/>
              <w:right w:val="single" w:color="AAAAAA" w:sz="1"/>
            </w:tcBorders>
            <w:shd w:fill="FFF3E0" w:val="clear"/>
            <w:tcMar>
              <w:top w:type="dxa" w:w="50"/>
              <w:left w:type="dxa" w:w="80"/>
              <w:bottom w:type="dxa" w:w="50"/>
              <w:right w:type="dxa" w:w="80"/>
            </w:tcMar>
            <w:vAlign w:val="center"/>
          </w:tcPr>
          <w:p>
            <w:pPr>
              <w:spacing w:after="120" w:line="276"/>
            </w:pPr>
            <w:r>
              <w:rPr>
                <w:rFonts w:ascii="Arial" w:cs="Arial" w:eastAsia="Arial" w:hAnsi="Arial"/>
                <w:b/>
                <w:bCs/>
                <w:color w:val="E65100"/>
                <w:sz w:val="16"/>
                <w:szCs w:val="16"/>
              </w:rPr>
              <w:t xml:space="preserve">$1.500-3.000</w:t>
            </w:r>
          </w:p>
        </w:tc>
        <w:tc>
          <w:tcPr>
            <w:tcW w:type="dxa" w:w="2160"/>
            <w:tcBorders>
              <w:top w:val="single" w:color="AAAAAA" w:sz="1"/>
              <w:left w:val="single" w:color="AAAAAA" w:sz="1"/>
              <w:bottom w:val="single" w:color="AAAAAA" w:sz="1"/>
              <w:right w:val="single" w:color="AAAAAA" w:sz="1"/>
            </w:tcBorders>
            <w:shd w:fill="FFF3E0" w:val="clear"/>
            <w:tcMar>
              <w:top w:type="dxa" w:w="50"/>
              <w:left w:type="dxa" w:w="80"/>
              <w:bottom w:type="dxa" w:w="50"/>
              <w:right w:type="dxa" w:w="80"/>
            </w:tcMar>
            <w:vAlign w:val="center"/>
          </w:tcPr>
          <w:p>
            <w:pPr>
              <w:spacing w:after="120" w:line="276"/>
            </w:pPr>
            <w:r>
              <w:rPr>
                <w:rFonts w:ascii="Arial" w:cs="Arial" w:eastAsia="Arial" w:hAnsi="Arial"/>
                <w:color w:val="333333"/>
                <w:sz w:val="16"/>
                <w:szCs w:val="16"/>
              </w:rPr>
              <w:t xml:space="preserve">1</w:t>
            </w:r>
          </w:p>
        </w:tc>
      </w:tr>
      <w:tr>
        <w:tc>
          <w:tcPr>
            <w:tcW w:type="dxa" w:w="24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20" w:line="276"/>
            </w:pPr>
            <w:r>
              <w:rPr>
                <w:rFonts w:ascii="Arial" w:cs="Arial" w:eastAsia="Arial" w:hAnsi="Arial"/>
                <w:b w:val="false"/>
                <w:bCs w:val="false"/>
                <w:color w:val="333333"/>
                <w:sz w:val="16"/>
                <w:szCs w:val="16"/>
              </w:rPr>
              <w:t xml:space="preserve">Mezcladora horizontal</w:t>
            </w:r>
          </w:p>
        </w:tc>
        <w:tc>
          <w:tcPr>
            <w:tcW w:type="dxa" w:w="30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20" w:line="276"/>
            </w:pPr>
            <w:r>
              <w:rPr>
                <w:rFonts w:ascii="Arial" w:cs="Arial" w:eastAsia="Arial" w:hAnsi="Arial"/>
                <w:color w:val="333333"/>
                <w:sz w:val="16"/>
                <w:szCs w:val="16"/>
              </w:rPr>
              <w:t xml:space="preserve">Homogeneizar ingredientes</w:t>
            </w:r>
          </w:p>
        </w:tc>
        <w:tc>
          <w:tcPr>
            <w:tcW w:type="dxa" w:w="18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20" w:line="276"/>
            </w:pPr>
            <w:r>
              <w:rPr>
                <w:rFonts w:ascii="Arial" w:cs="Arial" w:eastAsia="Arial" w:hAnsi="Arial"/>
                <w:b/>
                <w:bCs/>
                <w:color w:val="E65100"/>
                <w:sz w:val="16"/>
                <w:szCs w:val="16"/>
              </w:rPr>
              <w:t xml:space="preserve">$2.000-4.000</w:t>
            </w:r>
          </w:p>
        </w:tc>
        <w:tc>
          <w:tcPr>
            <w:tcW w:type="dxa" w:w="216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20" w:line="276"/>
            </w:pPr>
            <w:r>
              <w:rPr>
                <w:rFonts w:ascii="Arial" w:cs="Arial" w:eastAsia="Arial" w:hAnsi="Arial"/>
                <w:color w:val="333333"/>
                <w:sz w:val="16"/>
                <w:szCs w:val="16"/>
              </w:rPr>
              <w:t xml:space="preserve">1</w:t>
            </w:r>
          </w:p>
        </w:tc>
      </w:tr>
      <w:tr>
        <w:tc>
          <w:tcPr>
            <w:tcW w:type="dxa" w:w="2400"/>
            <w:tcBorders>
              <w:top w:val="single" w:color="AAAAAA" w:sz="1"/>
              <w:left w:val="single" w:color="AAAAAA" w:sz="1"/>
              <w:bottom w:val="single" w:color="AAAAAA" w:sz="1"/>
              <w:right w:val="single" w:color="AAAAAA" w:sz="1"/>
            </w:tcBorders>
            <w:shd w:fill="FFF3E0" w:val="clear"/>
            <w:tcMar>
              <w:top w:type="dxa" w:w="50"/>
              <w:left w:type="dxa" w:w="80"/>
              <w:bottom w:type="dxa" w:w="50"/>
              <w:right w:type="dxa" w:w="80"/>
            </w:tcMar>
            <w:vAlign w:val="center"/>
          </w:tcPr>
          <w:p>
            <w:pPr>
              <w:spacing w:after="120" w:line="276"/>
            </w:pPr>
            <w:r>
              <w:rPr>
                <w:rFonts w:ascii="Arial" w:cs="Arial" w:eastAsia="Arial" w:hAnsi="Arial"/>
                <w:b w:val="false"/>
                <w:bCs w:val="false"/>
                <w:color w:val="333333"/>
                <w:sz w:val="16"/>
                <w:szCs w:val="16"/>
              </w:rPr>
              <w:t xml:space="preserve">Prensa hidráulica</w:t>
            </w:r>
          </w:p>
        </w:tc>
        <w:tc>
          <w:tcPr>
            <w:tcW w:type="dxa" w:w="3000"/>
            <w:tcBorders>
              <w:top w:val="single" w:color="AAAAAA" w:sz="1"/>
              <w:left w:val="single" w:color="AAAAAA" w:sz="1"/>
              <w:bottom w:val="single" w:color="AAAAAA" w:sz="1"/>
              <w:right w:val="single" w:color="AAAAAA" w:sz="1"/>
            </w:tcBorders>
            <w:shd w:fill="FFF3E0" w:val="clear"/>
            <w:tcMar>
              <w:top w:type="dxa" w:w="50"/>
              <w:left w:type="dxa" w:w="80"/>
              <w:bottom w:type="dxa" w:w="50"/>
              <w:right w:type="dxa" w:w="80"/>
            </w:tcMar>
            <w:vAlign w:val="center"/>
          </w:tcPr>
          <w:p>
            <w:pPr>
              <w:spacing w:after="120" w:line="276"/>
            </w:pPr>
            <w:r>
              <w:rPr>
                <w:rFonts w:ascii="Arial" w:cs="Arial" w:eastAsia="Arial" w:hAnsi="Arial"/>
                <w:color w:val="333333"/>
                <w:sz w:val="16"/>
                <w:szCs w:val="16"/>
              </w:rPr>
              <w:t xml:space="preserve">Compactar bloques en moldes</w:t>
            </w:r>
          </w:p>
        </w:tc>
        <w:tc>
          <w:tcPr>
            <w:tcW w:type="dxa" w:w="1800"/>
            <w:tcBorders>
              <w:top w:val="single" w:color="AAAAAA" w:sz="1"/>
              <w:left w:val="single" w:color="AAAAAA" w:sz="1"/>
              <w:bottom w:val="single" w:color="AAAAAA" w:sz="1"/>
              <w:right w:val="single" w:color="AAAAAA" w:sz="1"/>
            </w:tcBorders>
            <w:shd w:fill="FFF3E0" w:val="clear"/>
            <w:tcMar>
              <w:top w:type="dxa" w:w="50"/>
              <w:left w:type="dxa" w:w="80"/>
              <w:bottom w:type="dxa" w:w="50"/>
              <w:right w:type="dxa" w:w="80"/>
            </w:tcMar>
            <w:vAlign w:val="center"/>
          </w:tcPr>
          <w:p>
            <w:pPr>
              <w:spacing w:after="120" w:line="276"/>
            </w:pPr>
            <w:r>
              <w:rPr>
                <w:rFonts w:ascii="Arial" w:cs="Arial" w:eastAsia="Arial" w:hAnsi="Arial"/>
                <w:b/>
                <w:bCs/>
                <w:color w:val="E65100"/>
                <w:sz w:val="16"/>
                <w:szCs w:val="16"/>
              </w:rPr>
              <w:t xml:space="preserve">$1.000-2.500</w:t>
            </w:r>
          </w:p>
        </w:tc>
        <w:tc>
          <w:tcPr>
            <w:tcW w:type="dxa" w:w="2160"/>
            <w:tcBorders>
              <w:top w:val="single" w:color="AAAAAA" w:sz="1"/>
              <w:left w:val="single" w:color="AAAAAA" w:sz="1"/>
              <w:bottom w:val="single" w:color="AAAAAA" w:sz="1"/>
              <w:right w:val="single" w:color="AAAAAA" w:sz="1"/>
            </w:tcBorders>
            <w:shd w:fill="FFF3E0" w:val="clear"/>
            <w:tcMar>
              <w:top w:type="dxa" w:w="50"/>
              <w:left w:type="dxa" w:w="80"/>
              <w:bottom w:type="dxa" w:w="50"/>
              <w:right w:type="dxa" w:w="80"/>
            </w:tcMar>
            <w:vAlign w:val="center"/>
          </w:tcPr>
          <w:p>
            <w:pPr>
              <w:spacing w:after="120" w:line="276"/>
            </w:pPr>
            <w:r>
              <w:rPr>
                <w:rFonts w:ascii="Arial" w:cs="Arial" w:eastAsia="Arial" w:hAnsi="Arial"/>
                <w:color w:val="333333"/>
                <w:sz w:val="16"/>
                <w:szCs w:val="16"/>
              </w:rPr>
              <w:t xml:space="preserve">1</w:t>
            </w:r>
          </w:p>
        </w:tc>
      </w:tr>
      <w:tr>
        <w:tc>
          <w:tcPr>
            <w:tcW w:type="dxa" w:w="24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20" w:line="276"/>
            </w:pPr>
            <w:r>
              <w:rPr>
                <w:rFonts w:ascii="Arial" w:cs="Arial" w:eastAsia="Arial" w:hAnsi="Arial"/>
                <w:b w:val="false"/>
                <w:bCs w:val="false"/>
                <w:color w:val="333333"/>
                <w:sz w:val="16"/>
                <w:szCs w:val="16"/>
              </w:rPr>
              <w:t xml:space="preserve">Moldes metálicos</w:t>
            </w:r>
          </w:p>
        </w:tc>
        <w:tc>
          <w:tcPr>
            <w:tcW w:type="dxa" w:w="30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20" w:line="276"/>
            </w:pPr>
            <w:r>
              <w:rPr>
                <w:rFonts w:ascii="Arial" w:cs="Arial" w:eastAsia="Arial" w:hAnsi="Arial"/>
                <w:color w:val="333333"/>
                <w:sz w:val="16"/>
                <w:szCs w:val="16"/>
              </w:rPr>
              <w:t xml:space="preserve">Dar forma a bloques 5 y 25 kg</w:t>
            </w:r>
          </w:p>
        </w:tc>
        <w:tc>
          <w:tcPr>
            <w:tcW w:type="dxa" w:w="18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20" w:line="276"/>
            </w:pPr>
            <w:r>
              <w:rPr>
                <w:rFonts w:ascii="Arial" w:cs="Arial" w:eastAsia="Arial" w:hAnsi="Arial"/>
                <w:b/>
                <w:bCs/>
                <w:color w:val="E65100"/>
                <w:sz w:val="16"/>
                <w:szCs w:val="16"/>
              </w:rPr>
              <w:t xml:space="preserve">$500-800</w:t>
            </w:r>
          </w:p>
        </w:tc>
        <w:tc>
          <w:tcPr>
            <w:tcW w:type="dxa" w:w="216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20" w:line="276"/>
            </w:pPr>
            <w:r>
              <w:rPr>
                <w:rFonts w:ascii="Arial" w:cs="Arial" w:eastAsia="Arial" w:hAnsi="Arial"/>
                <w:color w:val="333333"/>
                <w:sz w:val="16"/>
                <w:szCs w:val="16"/>
              </w:rPr>
              <w:t xml:space="preserve">20</w:t>
            </w:r>
          </w:p>
        </w:tc>
      </w:tr>
      <w:tr>
        <w:tc>
          <w:tcPr>
            <w:tcW w:type="dxa" w:w="2400"/>
            <w:tcBorders>
              <w:top w:val="single" w:color="AAAAAA" w:sz="1"/>
              <w:left w:val="single" w:color="AAAAAA" w:sz="1"/>
              <w:bottom w:val="single" w:color="AAAAAA" w:sz="1"/>
              <w:right w:val="single" w:color="AAAAAA" w:sz="1"/>
            </w:tcBorders>
            <w:shd w:fill="FFF3E0" w:val="clear"/>
            <w:tcMar>
              <w:top w:type="dxa" w:w="50"/>
              <w:left w:type="dxa" w:w="80"/>
              <w:bottom w:type="dxa" w:w="50"/>
              <w:right w:type="dxa" w:w="80"/>
            </w:tcMar>
            <w:vAlign w:val="center"/>
          </w:tcPr>
          <w:p>
            <w:pPr>
              <w:spacing w:after="120" w:line="276"/>
            </w:pPr>
            <w:r>
              <w:rPr>
                <w:rFonts w:ascii="Arial" w:cs="Arial" w:eastAsia="Arial" w:hAnsi="Arial"/>
                <w:b w:val="false"/>
                <w:bCs w:val="false"/>
                <w:color w:val="333333"/>
                <w:sz w:val="16"/>
                <w:szCs w:val="16"/>
              </w:rPr>
              <w:t xml:space="preserve">Deshidratador solar/horno</w:t>
            </w:r>
          </w:p>
        </w:tc>
        <w:tc>
          <w:tcPr>
            <w:tcW w:type="dxa" w:w="3000"/>
            <w:tcBorders>
              <w:top w:val="single" w:color="AAAAAA" w:sz="1"/>
              <w:left w:val="single" w:color="AAAAAA" w:sz="1"/>
              <w:bottom w:val="single" w:color="AAAAAA" w:sz="1"/>
              <w:right w:val="single" w:color="AAAAAA" w:sz="1"/>
            </w:tcBorders>
            <w:shd w:fill="FFF3E0" w:val="clear"/>
            <w:tcMar>
              <w:top w:type="dxa" w:w="50"/>
              <w:left w:type="dxa" w:w="80"/>
              <w:bottom w:type="dxa" w:w="50"/>
              <w:right w:type="dxa" w:w="80"/>
            </w:tcMar>
            <w:vAlign w:val="center"/>
          </w:tcPr>
          <w:p>
            <w:pPr>
              <w:spacing w:after="120" w:line="276"/>
            </w:pPr>
            <w:r>
              <w:rPr>
                <w:rFonts w:ascii="Arial" w:cs="Arial" w:eastAsia="Arial" w:hAnsi="Arial"/>
                <w:color w:val="333333"/>
                <w:sz w:val="16"/>
                <w:szCs w:val="16"/>
              </w:rPr>
              <w:t xml:space="preserve">Secar sangre y larvas BSF 60-70°C</w:t>
            </w:r>
          </w:p>
        </w:tc>
        <w:tc>
          <w:tcPr>
            <w:tcW w:type="dxa" w:w="1800"/>
            <w:tcBorders>
              <w:top w:val="single" w:color="AAAAAA" w:sz="1"/>
              <w:left w:val="single" w:color="AAAAAA" w:sz="1"/>
              <w:bottom w:val="single" w:color="AAAAAA" w:sz="1"/>
              <w:right w:val="single" w:color="AAAAAA" w:sz="1"/>
            </w:tcBorders>
            <w:shd w:fill="FFF3E0" w:val="clear"/>
            <w:tcMar>
              <w:top w:type="dxa" w:w="50"/>
              <w:left w:type="dxa" w:w="80"/>
              <w:bottom w:type="dxa" w:w="50"/>
              <w:right w:type="dxa" w:w="80"/>
            </w:tcMar>
            <w:vAlign w:val="center"/>
          </w:tcPr>
          <w:p>
            <w:pPr>
              <w:spacing w:after="120" w:line="276"/>
            </w:pPr>
            <w:r>
              <w:rPr>
                <w:rFonts w:ascii="Arial" w:cs="Arial" w:eastAsia="Arial" w:hAnsi="Arial"/>
                <w:b/>
                <w:bCs/>
                <w:color w:val="E65100"/>
                <w:sz w:val="16"/>
                <w:szCs w:val="16"/>
              </w:rPr>
              <w:t xml:space="preserve">$800-1.500</w:t>
            </w:r>
          </w:p>
        </w:tc>
        <w:tc>
          <w:tcPr>
            <w:tcW w:type="dxa" w:w="2160"/>
            <w:tcBorders>
              <w:top w:val="single" w:color="AAAAAA" w:sz="1"/>
              <w:left w:val="single" w:color="AAAAAA" w:sz="1"/>
              <w:bottom w:val="single" w:color="AAAAAA" w:sz="1"/>
              <w:right w:val="single" w:color="AAAAAA" w:sz="1"/>
            </w:tcBorders>
            <w:shd w:fill="FFF3E0" w:val="clear"/>
            <w:tcMar>
              <w:top w:type="dxa" w:w="50"/>
              <w:left w:type="dxa" w:w="80"/>
              <w:bottom w:type="dxa" w:w="50"/>
              <w:right w:type="dxa" w:w="80"/>
            </w:tcMar>
            <w:vAlign w:val="center"/>
          </w:tcPr>
          <w:p>
            <w:pPr>
              <w:spacing w:after="120" w:line="276"/>
            </w:pPr>
            <w:r>
              <w:rPr>
                <w:rFonts w:ascii="Arial" w:cs="Arial" w:eastAsia="Arial" w:hAnsi="Arial"/>
                <w:color w:val="333333"/>
                <w:sz w:val="16"/>
                <w:szCs w:val="16"/>
              </w:rPr>
              <w:t xml:space="preserve">1</w:t>
            </w:r>
          </w:p>
        </w:tc>
      </w:tr>
      <w:tr>
        <w:tc>
          <w:tcPr>
            <w:tcW w:type="dxa" w:w="24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20" w:line="276"/>
            </w:pPr>
            <w:r>
              <w:rPr>
                <w:rFonts w:ascii="Arial" w:cs="Arial" w:eastAsia="Arial" w:hAnsi="Arial"/>
                <w:b w:val="false"/>
                <w:bCs w:val="false"/>
                <w:color w:val="333333"/>
                <w:sz w:val="16"/>
                <w:szCs w:val="16"/>
              </w:rPr>
              <w:t xml:space="preserve">Horno calcinación</w:t>
            </w:r>
          </w:p>
        </w:tc>
        <w:tc>
          <w:tcPr>
            <w:tcW w:type="dxa" w:w="30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20" w:line="276"/>
            </w:pPr>
            <w:r>
              <w:rPr>
                <w:rFonts w:ascii="Arial" w:cs="Arial" w:eastAsia="Arial" w:hAnsi="Arial"/>
                <w:color w:val="333333"/>
                <w:sz w:val="16"/>
                <w:szCs w:val="16"/>
              </w:rPr>
              <w:t xml:space="preserve">Calcinar huesos 500-600°C</w:t>
            </w:r>
          </w:p>
        </w:tc>
        <w:tc>
          <w:tcPr>
            <w:tcW w:type="dxa" w:w="18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20" w:line="276"/>
            </w:pPr>
            <w:r>
              <w:rPr>
                <w:rFonts w:ascii="Arial" w:cs="Arial" w:eastAsia="Arial" w:hAnsi="Arial"/>
                <w:b/>
                <w:bCs/>
                <w:color w:val="E65100"/>
                <w:sz w:val="16"/>
                <w:szCs w:val="16"/>
              </w:rPr>
              <w:t xml:space="preserve">$600-1.200</w:t>
            </w:r>
          </w:p>
        </w:tc>
        <w:tc>
          <w:tcPr>
            <w:tcW w:type="dxa" w:w="216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20" w:line="276"/>
            </w:pPr>
            <w:r>
              <w:rPr>
                <w:rFonts w:ascii="Arial" w:cs="Arial" w:eastAsia="Arial" w:hAnsi="Arial"/>
                <w:color w:val="333333"/>
                <w:sz w:val="16"/>
                <w:szCs w:val="16"/>
              </w:rPr>
              <w:t xml:space="preserve">1</w:t>
            </w:r>
          </w:p>
        </w:tc>
      </w:tr>
      <w:tr>
        <w:tc>
          <w:tcPr>
            <w:tcW w:type="dxa" w:w="2400"/>
            <w:tcBorders>
              <w:top w:val="single" w:color="AAAAAA" w:sz="1"/>
              <w:left w:val="single" w:color="AAAAAA" w:sz="1"/>
              <w:bottom w:val="single" w:color="AAAAAA" w:sz="1"/>
              <w:right w:val="single" w:color="AAAAAA" w:sz="1"/>
            </w:tcBorders>
            <w:shd w:fill="FFF3E0" w:val="clear"/>
            <w:tcMar>
              <w:top w:type="dxa" w:w="50"/>
              <w:left w:type="dxa" w:w="80"/>
              <w:bottom w:type="dxa" w:w="50"/>
              <w:right w:type="dxa" w:w="80"/>
            </w:tcMar>
            <w:vAlign w:val="center"/>
          </w:tcPr>
          <w:p>
            <w:pPr>
              <w:spacing w:after="120" w:line="276"/>
            </w:pPr>
            <w:r>
              <w:rPr>
                <w:rFonts w:ascii="Arial" w:cs="Arial" w:eastAsia="Arial" w:hAnsi="Arial"/>
                <w:b w:val="false"/>
                <w:bCs w:val="false"/>
                <w:color w:val="333333"/>
                <w:sz w:val="16"/>
                <w:szCs w:val="16"/>
              </w:rPr>
              <w:t xml:space="preserve">Balanzas (2)</w:t>
            </w:r>
          </w:p>
        </w:tc>
        <w:tc>
          <w:tcPr>
            <w:tcW w:type="dxa" w:w="3000"/>
            <w:tcBorders>
              <w:top w:val="single" w:color="AAAAAA" w:sz="1"/>
              <w:left w:val="single" w:color="AAAAAA" w:sz="1"/>
              <w:bottom w:val="single" w:color="AAAAAA" w:sz="1"/>
              <w:right w:val="single" w:color="AAAAAA" w:sz="1"/>
            </w:tcBorders>
            <w:shd w:fill="FFF3E0" w:val="clear"/>
            <w:tcMar>
              <w:top w:type="dxa" w:w="50"/>
              <w:left w:type="dxa" w:w="80"/>
              <w:bottom w:type="dxa" w:w="50"/>
              <w:right w:type="dxa" w:w="80"/>
            </w:tcMar>
            <w:vAlign w:val="center"/>
          </w:tcPr>
          <w:p>
            <w:pPr>
              <w:spacing w:after="120" w:line="276"/>
            </w:pPr>
            <w:r>
              <w:rPr>
                <w:rFonts w:ascii="Arial" w:cs="Arial" w:eastAsia="Arial" w:hAnsi="Arial"/>
                <w:color w:val="333333"/>
                <w:sz w:val="16"/>
                <w:szCs w:val="16"/>
              </w:rPr>
              <w:t xml:space="preserve">Pesado de ingredientes</w:t>
            </w:r>
          </w:p>
        </w:tc>
        <w:tc>
          <w:tcPr>
            <w:tcW w:type="dxa" w:w="1800"/>
            <w:tcBorders>
              <w:top w:val="single" w:color="AAAAAA" w:sz="1"/>
              <w:left w:val="single" w:color="AAAAAA" w:sz="1"/>
              <w:bottom w:val="single" w:color="AAAAAA" w:sz="1"/>
              <w:right w:val="single" w:color="AAAAAA" w:sz="1"/>
            </w:tcBorders>
            <w:shd w:fill="FFF3E0" w:val="clear"/>
            <w:tcMar>
              <w:top w:type="dxa" w:w="50"/>
              <w:left w:type="dxa" w:w="80"/>
              <w:bottom w:type="dxa" w:w="50"/>
              <w:right w:type="dxa" w:w="80"/>
            </w:tcMar>
            <w:vAlign w:val="center"/>
          </w:tcPr>
          <w:p>
            <w:pPr>
              <w:spacing w:after="120" w:line="276"/>
            </w:pPr>
            <w:r>
              <w:rPr>
                <w:rFonts w:ascii="Arial" w:cs="Arial" w:eastAsia="Arial" w:hAnsi="Arial"/>
                <w:b/>
                <w:bCs/>
                <w:color w:val="E65100"/>
                <w:sz w:val="16"/>
                <w:szCs w:val="16"/>
              </w:rPr>
              <w:t xml:space="preserve">$400-700</w:t>
            </w:r>
          </w:p>
        </w:tc>
        <w:tc>
          <w:tcPr>
            <w:tcW w:type="dxa" w:w="2160"/>
            <w:tcBorders>
              <w:top w:val="single" w:color="AAAAAA" w:sz="1"/>
              <w:left w:val="single" w:color="AAAAAA" w:sz="1"/>
              <w:bottom w:val="single" w:color="AAAAAA" w:sz="1"/>
              <w:right w:val="single" w:color="AAAAAA" w:sz="1"/>
            </w:tcBorders>
            <w:shd w:fill="FFF3E0" w:val="clear"/>
            <w:tcMar>
              <w:top w:type="dxa" w:w="50"/>
              <w:left w:type="dxa" w:w="80"/>
              <w:bottom w:type="dxa" w:w="50"/>
              <w:right w:type="dxa" w:w="80"/>
            </w:tcMar>
            <w:vAlign w:val="center"/>
          </w:tcPr>
          <w:p>
            <w:pPr>
              <w:spacing w:after="120" w:line="276"/>
            </w:pPr>
            <w:r>
              <w:rPr>
                <w:rFonts w:ascii="Arial" w:cs="Arial" w:eastAsia="Arial" w:hAnsi="Arial"/>
                <w:color w:val="333333"/>
                <w:sz w:val="16"/>
                <w:szCs w:val="16"/>
              </w:rPr>
              <w:t xml:space="preserve">2</w:t>
            </w:r>
          </w:p>
        </w:tc>
      </w:tr>
      <w:tr>
        <w:tc>
          <w:tcPr>
            <w:tcW w:type="dxa" w:w="24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20" w:line="276"/>
            </w:pPr>
            <w:r>
              <w:rPr>
                <w:rFonts w:ascii="Arial" w:cs="Arial" w:eastAsia="Arial" w:hAnsi="Arial"/>
                <w:b w:val="false"/>
                <w:bCs w:val="false"/>
                <w:color w:val="333333"/>
                <w:sz w:val="16"/>
                <w:szCs w:val="16"/>
              </w:rPr>
              <w:t xml:space="preserve">Módulos cría BSF</w:t>
            </w:r>
          </w:p>
        </w:tc>
        <w:tc>
          <w:tcPr>
            <w:tcW w:type="dxa" w:w="30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20" w:line="276"/>
            </w:pPr>
            <w:r>
              <w:rPr>
                <w:rFonts w:ascii="Arial" w:cs="Arial" w:eastAsia="Arial" w:hAnsi="Arial"/>
                <w:color w:val="333333"/>
                <w:sz w:val="16"/>
                <w:szCs w:val="16"/>
              </w:rPr>
              <w:t xml:space="preserve">Bandejas, estructura, mallas, sensores</w:t>
            </w:r>
          </w:p>
        </w:tc>
        <w:tc>
          <w:tcPr>
            <w:tcW w:type="dxa" w:w="18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20" w:line="276"/>
            </w:pPr>
            <w:r>
              <w:rPr>
                <w:rFonts w:ascii="Arial" w:cs="Arial" w:eastAsia="Arial" w:hAnsi="Arial"/>
                <w:b/>
                <w:bCs/>
                <w:color w:val="E65100"/>
                <w:sz w:val="16"/>
                <w:szCs w:val="16"/>
              </w:rPr>
              <w:t xml:space="preserve">$2.000-4.000</w:t>
            </w:r>
          </w:p>
        </w:tc>
        <w:tc>
          <w:tcPr>
            <w:tcW w:type="dxa" w:w="216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20" w:line="276"/>
            </w:pPr>
            <w:r>
              <w:rPr>
                <w:rFonts w:ascii="Arial" w:cs="Arial" w:eastAsia="Arial" w:hAnsi="Arial"/>
                <w:color w:val="333333"/>
                <w:sz w:val="16"/>
                <w:szCs w:val="16"/>
              </w:rPr>
              <w:t xml:space="preserve">1 set</w:t>
            </w:r>
          </w:p>
        </w:tc>
      </w:tr>
      <w:tr>
        <w:tc>
          <w:tcPr>
            <w:tcW w:type="dxa" w:w="2400"/>
            <w:tcBorders>
              <w:top w:val="single" w:color="AAAAAA" w:sz="1"/>
              <w:left w:val="single" w:color="AAAAAA" w:sz="1"/>
              <w:bottom w:val="single" w:color="AAAAAA" w:sz="1"/>
              <w:right w:val="single" w:color="AAAAAA" w:sz="1"/>
            </w:tcBorders>
            <w:shd w:fill="FFF3E0" w:val="clear"/>
            <w:tcMar>
              <w:top w:type="dxa" w:w="50"/>
              <w:left w:type="dxa" w:w="80"/>
              <w:bottom w:type="dxa" w:w="50"/>
              <w:right w:type="dxa" w:w="80"/>
            </w:tcMar>
            <w:vAlign w:val="center"/>
          </w:tcPr>
          <w:p>
            <w:pPr>
              <w:spacing w:after="120" w:line="276"/>
            </w:pPr>
            <w:r>
              <w:rPr>
                <w:rFonts w:ascii="Arial" w:cs="Arial" w:eastAsia="Arial" w:hAnsi="Arial"/>
                <w:b w:val="false"/>
                <w:bCs w:val="false"/>
                <w:color w:val="333333"/>
                <w:sz w:val="16"/>
                <w:szCs w:val="16"/>
              </w:rPr>
              <w:t xml:space="preserve">Tanque melaza 2.000L</w:t>
            </w:r>
          </w:p>
        </w:tc>
        <w:tc>
          <w:tcPr>
            <w:tcW w:type="dxa" w:w="3000"/>
            <w:tcBorders>
              <w:top w:val="single" w:color="AAAAAA" w:sz="1"/>
              <w:left w:val="single" w:color="AAAAAA" w:sz="1"/>
              <w:bottom w:val="single" w:color="AAAAAA" w:sz="1"/>
              <w:right w:val="single" w:color="AAAAAA" w:sz="1"/>
            </w:tcBorders>
            <w:shd w:fill="FFF3E0" w:val="clear"/>
            <w:tcMar>
              <w:top w:type="dxa" w:w="50"/>
              <w:left w:type="dxa" w:w="80"/>
              <w:bottom w:type="dxa" w:w="50"/>
              <w:right w:type="dxa" w:w="80"/>
            </w:tcMar>
            <w:vAlign w:val="center"/>
          </w:tcPr>
          <w:p>
            <w:pPr>
              <w:spacing w:after="120" w:line="276"/>
            </w:pPr>
            <w:r>
              <w:rPr>
                <w:rFonts w:ascii="Arial" w:cs="Arial" w:eastAsia="Arial" w:hAnsi="Arial"/>
                <w:color w:val="333333"/>
                <w:sz w:val="16"/>
                <w:szCs w:val="16"/>
              </w:rPr>
              <w:t xml:space="preserve">Almacenamiento</w:t>
            </w:r>
          </w:p>
        </w:tc>
        <w:tc>
          <w:tcPr>
            <w:tcW w:type="dxa" w:w="1800"/>
            <w:tcBorders>
              <w:top w:val="single" w:color="AAAAAA" w:sz="1"/>
              <w:left w:val="single" w:color="AAAAAA" w:sz="1"/>
              <w:bottom w:val="single" w:color="AAAAAA" w:sz="1"/>
              <w:right w:val="single" w:color="AAAAAA" w:sz="1"/>
            </w:tcBorders>
            <w:shd w:fill="FFF3E0" w:val="clear"/>
            <w:tcMar>
              <w:top w:type="dxa" w:w="50"/>
              <w:left w:type="dxa" w:w="80"/>
              <w:bottom w:type="dxa" w:w="50"/>
              <w:right w:type="dxa" w:w="80"/>
            </w:tcMar>
            <w:vAlign w:val="center"/>
          </w:tcPr>
          <w:p>
            <w:pPr>
              <w:spacing w:after="120" w:line="276"/>
            </w:pPr>
            <w:r>
              <w:rPr>
                <w:rFonts w:ascii="Arial" w:cs="Arial" w:eastAsia="Arial" w:hAnsi="Arial"/>
                <w:b/>
                <w:bCs/>
                <w:color w:val="E65100"/>
                <w:sz w:val="16"/>
                <w:szCs w:val="16"/>
              </w:rPr>
              <w:t xml:space="preserve">$300-500</w:t>
            </w:r>
          </w:p>
        </w:tc>
        <w:tc>
          <w:tcPr>
            <w:tcW w:type="dxa" w:w="2160"/>
            <w:tcBorders>
              <w:top w:val="single" w:color="AAAAAA" w:sz="1"/>
              <w:left w:val="single" w:color="AAAAAA" w:sz="1"/>
              <w:bottom w:val="single" w:color="AAAAAA" w:sz="1"/>
              <w:right w:val="single" w:color="AAAAAA" w:sz="1"/>
            </w:tcBorders>
            <w:shd w:fill="FFF3E0" w:val="clear"/>
            <w:tcMar>
              <w:top w:type="dxa" w:w="50"/>
              <w:left w:type="dxa" w:w="80"/>
              <w:bottom w:type="dxa" w:w="50"/>
              <w:right w:type="dxa" w:w="80"/>
            </w:tcMar>
            <w:vAlign w:val="center"/>
          </w:tcPr>
          <w:p>
            <w:pPr>
              <w:spacing w:after="120" w:line="276"/>
            </w:pPr>
            <w:r>
              <w:rPr>
                <w:rFonts w:ascii="Arial" w:cs="Arial" w:eastAsia="Arial" w:hAnsi="Arial"/>
                <w:color w:val="333333"/>
                <w:sz w:val="16"/>
                <w:szCs w:val="16"/>
              </w:rPr>
              <w:t xml:space="preserve">1</w:t>
            </w:r>
          </w:p>
        </w:tc>
      </w:tr>
      <w:tr>
        <w:tc>
          <w:tcPr>
            <w:tcW w:type="dxa" w:w="24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20" w:line="276"/>
            </w:pPr>
            <w:r>
              <w:rPr>
                <w:rFonts w:ascii="Arial" w:cs="Arial" w:eastAsia="Arial" w:hAnsi="Arial"/>
                <w:b w:val="false"/>
                <w:bCs w:val="false"/>
                <w:color w:val="333333"/>
                <w:sz w:val="16"/>
                <w:szCs w:val="16"/>
              </w:rPr>
              <w:t xml:space="preserve">Empacadora termoencogible</w:t>
            </w:r>
          </w:p>
        </w:tc>
        <w:tc>
          <w:tcPr>
            <w:tcW w:type="dxa" w:w="30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20" w:line="276"/>
            </w:pPr>
            <w:r>
              <w:rPr>
                <w:rFonts w:ascii="Arial" w:cs="Arial" w:eastAsia="Arial" w:hAnsi="Arial"/>
                <w:color w:val="333333"/>
                <w:sz w:val="16"/>
                <w:szCs w:val="16"/>
              </w:rPr>
              <w:t xml:space="preserve">Sellado de bloques</w:t>
            </w:r>
          </w:p>
        </w:tc>
        <w:tc>
          <w:tcPr>
            <w:tcW w:type="dxa" w:w="18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20" w:line="276"/>
            </w:pPr>
            <w:r>
              <w:rPr>
                <w:rFonts w:ascii="Arial" w:cs="Arial" w:eastAsia="Arial" w:hAnsi="Arial"/>
                <w:b/>
                <w:bCs/>
                <w:color w:val="E65100"/>
                <w:sz w:val="16"/>
                <w:szCs w:val="16"/>
              </w:rPr>
              <w:t xml:space="preserve">$400-800</w:t>
            </w:r>
          </w:p>
        </w:tc>
        <w:tc>
          <w:tcPr>
            <w:tcW w:type="dxa" w:w="216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20" w:line="276"/>
            </w:pPr>
            <w:r>
              <w:rPr>
                <w:rFonts w:ascii="Arial" w:cs="Arial" w:eastAsia="Arial" w:hAnsi="Arial"/>
                <w:color w:val="333333"/>
                <w:sz w:val="16"/>
                <w:szCs w:val="16"/>
              </w:rPr>
              <w:t xml:space="preserve">1</w:t>
            </w:r>
          </w:p>
        </w:tc>
      </w:tr>
      <w:tr>
        <w:tc>
          <w:tcPr>
            <w:tcW w:type="dxa" w:w="2400"/>
            <w:tcBorders>
              <w:top w:val="single" w:color="AAAAAA" w:sz="1"/>
              <w:left w:val="single" w:color="AAAAAA" w:sz="1"/>
              <w:bottom w:val="single" w:color="AAAAAA" w:sz="1"/>
              <w:right w:val="single" w:color="AAAAAA" w:sz="1"/>
            </w:tcBorders>
            <w:shd w:fill="FFF3E0" w:val="clear"/>
            <w:tcMar>
              <w:top w:type="dxa" w:w="50"/>
              <w:left w:type="dxa" w:w="80"/>
              <w:bottom w:type="dxa" w:w="50"/>
              <w:right w:type="dxa" w:w="80"/>
            </w:tcMar>
            <w:vAlign w:val="center"/>
          </w:tcPr>
          <w:p>
            <w:pPr>
              <w:spacing w:after="120" w:line="276"/>
            </w:pPr>
            <w:r>
              <w:rPr>
                <w:rFonts w:ascii="Arial" w:cs="Arial" w:eastAsia="Arial" w:hAnsi="Arial"/>
                <w:b w:val="false"/>
                <w:bCs w:val="false"/>
                <w:color w:val="333333"/>
                <w:sz w:val="16"/>
                <w:szCs w:val="16"/>
              </w:rPr>
              <w:t xml:space="preserve">Vehículo recolección</w:t>
            </w:r>
          </w:p>
        </w:tc>
        <w:tc>
          <w:tcPr>
            <w:tcW w:type="dxa" w:w="3000"/>
            <w:tcBorders>
              <w:top w:val="single" w:color="AAAAAA" w:sz="1"/>
              <w:left w:val="single" w:color="AAAAAA" w:sz="1"/>
              <w:bottom w:val="single" w:color="AAAAAA" w:sz="1"/>
              <w:right w:val="single" w:color="AAAAAA" w:sz="1"/>
            </w:tcBorders>
            <w:shd w:fill="FFF3E0" w:val="clear"/>
            <w:tcMar>
              <w:top w:type="dxa" w:w="50"/>
              <w:left w:type="dxa" w:w="80"/>
              <w:bottom w:type="dxa" w:w="50"/>
              <w:right w:type="dxa" w:w="80"/>
            </w:tcMar>
            <w:vAlign w:val="center"/>
          </w:tcPr>
          <w:p>
            <w:pPr>
              <w:spacing w:after="120" w:line="276"/>
            </w:pPr>
            <w:r>
              <w:rPr>
                <w:rFonts w:ascii="Arial" w:cs="Arial" w:eastAsia="Arial" w:hAnsi="Arial"/>
                <w:color w:val="333333"/>
                <w:sz w:val="16"/>
                <w:szCs w:val="16"/>
              </w:rPr>
              <w:t xml:space="preserve">Transporte de residuos y distribución</w:t>
            </w:r>
          </w:p>
        </w:tc>
        <w:tc>
          <w:tcPr>
            <w:tcW w:type="dxa" w:w="1800"/>
            <w:tcBorders>
              <w:top w:val="single" w:color="AAAAAA" w:sz="1"/>
              <w:left w:val="single" w:color="AAAAAA" w:sz="1"/>
              <w:bottom w:val="single" w:color="AAAAAA" w:sz="1"/>
              <w:right w:val="single" w:color="AAAAAA" w:sz="1"/>
            </w:tcBorders>
            <w:shd w:fill="FFF3E0" w:val="clear"/>
            <w:tcMar>
              <w:top w:type="dxa" w:w="50"/>
              <w:left w:type="dxa" w:w="80"/>
              <w:bottom w:type="dxa" w:w="50"/>
              <w:right w:type="dxa" w:w="80"/>
            </w:tcMar>
            <w:vAlign w:val="center"/>
          </w:tcPr>
          <w:p>
            <w:pPr>
              <w:spacing w:after="120" w:line="276"/>
            </w:pPr>
            <w:r>
              <w:rPr>
                <w:rFonts w:ascii="Arial" w:cs="Arial" w:eastAsia="Arial" w:hAnsi="Arial"/>
                <w:b/>
                <w:bCs/>
                <w:color w:val="E65100"/>
                <w:sz w:val="16"/>
                <w:szCs w:val="16"/>
              </w:rPr>
              <w:t xml:space="preserve">$4.000-6.000</w:t>
            </w:r>
          </w:p>
        </w:tc>
        <w:tc>
          <w:tcPr>
            <w:tcW w:type="dxa" w:w="2160"/>
            <w:tcBorders>
              <w:top w:val="single" w:color="AAAAAA" w:sz="1"/>
              <w:left w:val="single" w:color="AAAAAA" w:sz="1"/>
              <w:bottom w:val="single" w:color="AAAAAA" w:sz="1"/>
              <w:right w:val="single" w:color="AAAAAA" w:sz="1"/>
            </w:tcBorders>
            <w:shd w:fill="FFF3E0" w:val="clear"/>
            <w:tcMar>
              <w:top w:type="dxa" w:w="50"/>
              <w:left w:type="dxa" w:w="80"/>
              <w:bottom w:type="dxa" w:w="50"/>
              <w:right w:type="dxa" w:w="80"/>
            </w:tcMar>
            <w:vAlign w:val="center"/>
          </w:tcPr>
          <w:p>
            <w:pPr>
              <w:spacing w:after="120" w:line="276"/>
            </w:pPr>
            <w:r>
              <w:rPr>
                <w:rFonts w:ascii="Arial" w:cs="Arial" w:eastAsia="Arial" w:hAnsi="Arial"/>
                <w:color w:val="333333"/>
                <w:sz w:val="16"/>
                <w:szCs w:val="16"/>
              </w:rPr>
              <w:t xml:space="preserve">1</w:t>
            </w:r>
          </w:p>
        </w:tc>
      </w:tr>
      <w:tr>
        <w:tc>
          <w:tcPr>
            <w:tcW w:type="dxa" w:w="2400"/>
            <w:tcBorders>
              <w:top w:val="single" w:color="AAAAAA" w:sz="1"/>
              <w:left w:val="single" w:color="AAAAAA" w:sz="1"/>
              <w:bottom w:val="single" w:color="AAAAAA" w:sz="1"/>
              <w:right w:val="single" w:color="AAAAAA" w:sz="1"/>
            </w:tcBorders>
            <w:shd w:fill="1B5E20" w:val="clear"/>
            <w:tcMar>
              <w:top w:type="dxa" w:w="50"/>
              <w:left w:type="dxa" w:w="80"/>
              <w:bottom w:type="dxa" w:w="50"/>
              <w:right w:type="dxa" w:w="80"/>
            </w:tcMar>
            <w:vAlign w:val="center"/>
          </w:tcPr>
          <w:p>
            <w:pPr>
              <w:spacing w:after="120" w:line="276"/>
            </w:pPr>
            <w:r>
              <w:rPr>
                <w:rFonts w:ascii="Arial" w:cs="Arial" w:eastAsia="Arial" w:hAnsi="Arial"/>
                <w:b/>
                <w:bCs/>
                <w:color w:val="FFFFFF"/>
                <w:sz w:val="16"/>
                <w:szCs w:val="16"/>
              </w:rPr>
              <w:t xml:space="preserve">TOTAL</w:t>
            </w:r>
          </w:p>
        </w:tc>
        <w:tc>
          <w:tcPr>
            <w:tcW w:type="dxa" w:w="3000"/>
            <w:tcBorders>
              <w:top w:val="single" w:color="AAAAAA" w:sz="1"/>
              <w:left w:val="single" w:color="AAAAAA" w:sz="1"/>
              <w:bottom w:val="single" w:color="AAAAAA" w:sz="1"/>
              <w:right w:val="single" w:color="AAAAAA" w:sz="1"/>
            </w:tcBorders>
            <w:shd w:fill="1B5E20" w:val="clear"/>
            <w:tcMar>
              <w:top w:type="dxa" w:w="50"/>
              <w:left w:type="dxa" w:w="80"/>
              <w:bottom w:type="dxa" w:w="50"/>
              <w:right w:type="dxa" w:w="80"/>
            </w:tcMar>
            <w:vAlign w:val="center"/>
          </w:tcPr>
          <w:p>
            <w:pPr>
              <w:spacing w:after="120" w:line="276"/>
            </w:pPr>
            <w:r>
              <w:rPr>
                <w:rFonts w:ascii="Arial" w:cs="Arial" w:eastAsia="Arial" w:hAnsi="Arial"/>
                <w:color w:val="FFFFFF"/>
                <w:sz w:val="16"/>
                <w:szCs w:val="16"/>
              </w:rPr>
              <w:t xml:space="preserve"/>
            </w:r>
          </w:p>
        </w:tc>
        <w:tc>
          <w:tcPr>
            <w:tcW w:type="dxa" w:w="1800"/>
            <w:tcBorders>
              <w:top w:val="single" w:color="AAAAAA" w:sz="1"/>
              <w:left w:val="single" w:color="AAAAAA" w:sz="1"/>
              <w:bottom w:val="single" w:color="AAAAAA" w:sz="1"/>
              <w:right w:val="single" w:color="AAAAAA" w:sz="1"/>
            </w:tcBorders>
            <w:shd w:fill="1B5E20" w:val="clear"/>
            <w:tcMar>
              <w:top w:type="dxa" w:w="50"/>
              <w:left w:type="dxa" w:w="80"/>
              <w:bottom w:type="dxa" w:w="50"/>
              <w:right w:type="dxa" w:w="80"/>
            </w:tcMar>
            <w:vAlign w:val="center"/>
          </w:tcPr>
          <w:p>
            <w:pPr>
              <w:spacing w:after="120" w:line="276"/>
            </w:pPr>
            <w:r>
              <w:rPr>
                <w:rFonts w:ascii="Arial" w:cs="Arial" w:eastAsia="Arial" w:hAnsi="Arial"/>
                <w:b/>
                <w:bCs/>
                <w:color w:val="FFFFFF"/>
                <w:sz w:val="16"/>
                <w:szCs w:val="16"/>
              </w:rPr>
              <w:t xml:space="preserve">$13.500-25.000</w:t>
            </w:r>
          </w:p>
        </w:tc>
        <w:tc>
          <w:tcPr>
            <w:tcW w:type="dxa" w:w="2160"/>
            <w:tcBorders>
              <w:top w:val="single" w:color="AAAAAA" w:sz="1"/>
              <w:left w:val="single" w:color="AAAAAA" w:sz="1"/>
              <w:bottom w:val="single" w:color="AAAAAA" w:sz="1"/>
              <w:right w:val="single" w:color="AAAAAA" w:sz="1"/>
            </w:tcBorders>
            <w:shd w:fill="1B5E20" w:val="clear"/>
            <w:tcMar>
              <w:top w:type="dxa" w:w="50"/>
              <w:left w:type="dxa" w:w="80"/>
              <w:bottom w:type="dxa" w:w="50"/>
              <w:right w:type="dxa" w:w="80"/>
            </w:tcMar>
            <w:vAlign w:val="center"/>
          </w:tcPr>
          <w:p>
            <w:pPr>
              <w:spacing w:after="120" w:line="276"/>
            </w:pPr>
            <w:r>
              <w:rPr>
                <w:rFonts w:ascii="Arial" w:cs="Arial" w:eastAsia="Arial" w:hAnsi="Arial"/>
                <w:color w:val="FFFFFF"/>
                <w:sz w:val="16"/>
                <w:szCs w:val="16"/>
              </w:rPr>
              <w:t xml:space="preserve"/>
            </w:r>
          </w:p>
        </w:tc>
      </w:tr>
    </w:tbl>
    <w:p>
      <w:pPr>
        <w:spacing w:after="80"/>
      </w:pPr>
      <w:r>
        <w:rPr>
          <w:rFonts w:ascii="Arial" w:cs="Arial" w:eastAsia="Arial" w:hAnsi="Arial"/>
          <w:color w:val="333333"/>
          <w:sz w:val="24"/>
          <w:szCs w:val="24"/>
        </w:rPr>
        <w:t xml:space="preserve"/>
      </w:r>
    </w:p>
    <w:p>
      <w:pPr>
        <w:pStyle w:val="Heading3"/>
        <w:spacing w:before="160" w:after="120"/>
      </w:pPr>
      <w:r>
        <w:rPr>
          <w:rFonts w:ascii="Arial" w:cs="Arial" w:eastAsia="Arial" w:hAnsi="Arial"/>
          <w:b/>
          <w:bCs/>
          <w:color w:val="E65100"/>
          <w:sz w:val="24"/>
          <w:szCs w:val="24"/>
        </w:rPr>
        <w:t xml:space="preserve">2.4 Materia prima</w:t>
      </w:r>
    </w:p>
    <w:p>
      <w:pPr>
        <w:spacing w:after="140" w:line="300"/>
      </w:pPr>
      <w:r>
        <w:rPr>
          <w:rFonts w:ascii="Arial" w:cs="Arial" w:eastAsia="Arial" w:hAnsi="Arial"/>
          <w:color w:val="333333"/>
          <w:sz w:val="24"/>
          <w:szCs w:val="24"/>
        </w:rPr>
        <w:t xml:space="preserve">El 74% de la materia prima proviene de residuos industriales reutilizados: melaza (Guabirá, Bs 1.465/tn), harina de sangre (FRIGOR, gratis), cascarilla de arroz (arroceras, gratis), harina de hueso (mataderos, gratis), harina BSF (producción propia de vísceras, gratis). El 26% restante son insumos comerciales: urea agrícola, cal viva, sal mineralizada y azufre. Los mataderos pagan o entregan gratis los residuos porque la Ley 755 les obliga a gestionarlos.</w:t>
      </w:r>
    </w:p>
    <w:p>
      <w:pPr>
        <w:pStyle w:val="Heading3"/>
        <w:spacing w:before="160" w:after="120"/>
      </w:pPr>
      <w:r>
        <w:rPr>
          <w:rFonts w:ascii="Arial" w:cs="Arial" w:eastAsia="Arial" w:hAnsi="Arial"/>
          <w:b/>
          <w:bCs/>
          <w:color w:val="E65100"/>
          <w:sz w:val="24"/>
          <w:szCs w:val="24"/>
        </w:rPr>
        <w:t xml:space="preserve">2.5 Identificación de proveedores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2000"/>
        <w:gridCol w:w="1960"/>
      </w:tblGrid>
      <w:tr>
        <w:tc>
          <w:tcPr>
            <w:tcW w:type="dxa" w:w="1800"/>
            <w:tcBorders>
              <w:top w:val="single" w:color="AAAAAA" w:sz="1"/>
              <w:left w:val="single" w:color="AAAAAA" w:sz="1"/>
              <w:bottom w:val="single" w:color="AAAAAA" w:sz="1"/>
              <w:right w:val="single" w:color="AAAAAA" w:sz="1"/>
            </w:tcBorders>
            <w:shd w:fill="2E7D32" w:val="clear"/>
            <w:tcMar>
              <w:top w:type="dxa" w:w="50"/>
              <w:left w:type="dxa" w:w="80"/>
              <w:bottom w:type="dxa" w:w="50"/>
              <w:right w:type="dxa" w:w="80"/>
            </w:tcMar>
            <w:vAlign w:val="center"/>
          </w:tcPr>
          <w:p>
            <w:pPr>
              <w:spacing w:after="120" w:line="276"/>
            </w:pPr>
            <w:r>
              <w:rPr>
                <w:rFonts w:ascii="Arial" w:cs="Arial" w:eastAsia="Arial" w:hAnsi="Arial"/>
                <w:b/>
                <w:bCs/>
                <w:color w:val="FFFFFF"/>
                <w:sz w:val="16"/>
                <w:szCs w:val="16"/>
              </w:rPr>
              <w:t xml:space="preserve">Proveedor</w:t>
            </w:r>
          </w:p>
        </w:tc>
        <w:tc>
          <w:tcPr>
            <w:tcW w:type="dxa" w:w="1800"/>
            <w:tcBorders>
              <w:top w:val="single" w:color="AAAAAA" w:sz="1"/>
              <w:left w:val="single" w:color="AAAAAA" w:sz="1"/>
              <w:bottom w:val="single" w:color="AAAAAA" w:sz="1"/>
              <w:right w:val="single" w:color="AAAAAA" w:sz="1"/>
            </w:tcBorders>
            <w:shd w:fill="2E7D32" w:val="clear"/>
            <w:tcMar>
              <w:top w:type="dxa" w:w="50"/>
              <w:left w:type="dxa" w:w="80"/>
              <w:bottom w:type="dxa" w:w="50"/>
              <w:right w:type="dxa" w:w="80"/>
            </w:tcMar>
            <w:vAlign w:val="center"/>
          </w:tcPr>
          <w:p>
            <w:pPr>
              <w:spacing w:after="120" w:line="276"/>
            </w:pPr>
            <w:r>
              <w:rPr>
                <w:rFonts w:ascii="Arial" w:cs="Arial" w:eastAsia="Arial" w:hAnsi="Arial"/>
                <w:b/>
                <w:bCs/>
                <w:color w:val="FFFFFF"/>
                <w:sz w:val="16"/>
                <w:szCs w:val="16"/>
              </w:rPr>
              <w:t xml:space="preserve">Insumo</w:t>
            </w:r>
          </w:p>
        </w:tc>
        <w:tc>
          <w:tcPr>
            <w:tcW w:type="dxa" w:w="1800"/>
            <w:tcBorders>
              <w:top w:val="single" w:color="AAAAAA" w:sz="1"/>
              <w:left w:val="single" w:color="AAAAAA" w:sz="1"/>
              <w:bottom w:val="single" w:color="AAAAAA" w:sz="1"/>
              <w:right w:val="single" w:color="AAAAAA" w:sz="1"/>
            </w:tcBorders>
            <w:shd w:fill="2E7D32" w:val="clear"/>
            <w:tcMar>
              <w:top w:type="dxa" w:w="50"/>
              <w:left w:type="dxa" w:w="80"/>
              <w:bottom w:type="dxa" w:w="50"/>
              <w:right w:type="dxa" w:w="80"/>
            </w:tcMar>
            <w:vAlign w:val="center"/>
          </w:tcPr>
          <w:p>
            <w:pPr>
              <w:spacing w:after="120" w:line="276"/>
            </w:pPr>
            <w:r>
              <w:rPr>
                <w:rFonts w:ascii="Arial" w:cs="Arial" w:eastAsia="Arial" w:hAnsi="Arial"/>
                <w:b/>
                <w:bCs/>
                <w:color w:val="FFFFFF"/>
                <w:sz w:val="16"/>
                <w:szCs w:val="16"/>
              </w:rPr>
              <w:t xml:space="preserve">Ubicación</w:t>
            </w:r>
          </w:p>
        </w:tc>
        <w:tc>
          <w:tcPr>
            <w:tcW w:type="dxa" w:w="2000"/>
            <w:tcBorders>
              <w:top w:val="single" w:color="AAAAAA" w:sz="1"/>
              <w:left w:val="single" w:color="AAAAAA" w:sz="1"/>
              <w:bottom w:val="single" w:color="AAAAAA" w:sz="1"/>
              <w:right w:val="single" w:color="AAAAAA" w:sz="1"/>
            </w:tcBorders>
            <w:shd w:fill="2E7D32" w:val="clear"/>
            <w:tcMar>
              <w:top w:type="dxa" w:w="50"/>
              <w:left w:type="dxa" w:w="80"/>
              <w:bottom w:type="dxa" w:w="50"/>
              <w:right w:type="dxa" w:w="80"/>
            </w:tcMar>
            <w:vAlign w:val="center"/>
          </w:tcPr>
          <w:p>
            <w:pPr>
              <w:spacing w:after="120" w:line="276"/>
            </w:pPr>
            <w:r>
              <w:rPr>
                <w:rFonts w:ascii="Arial" w:cs="Arial" w:eastAsia="Arial" w:hAnsi="Arial"/>
                <w:b/>
                <w:bCs/>
                <w:color w:val="FFFFFF"/>
                <w:sz w:val="16"/>
                <w:szCs w:val="16"/>
              </w:rPr>
              <w:t xml:space="preserve">Precio</w:t>
            </w:r>
          </w:p>
        </w:tc>
        <w:tc>
          <w:tcPr>
            <w:tcW w:type="dxa" w:w="1960"/>
            <w:tcBorders>
              <w:top w:val="single" w:color="AAAAAA" w:sz="1"/>
              <w:left w:val="single" w:color="AAAAAA" w:sz="1"/>
              <w:bottom w:val="single" w:color="AAAAAA" w:sz="1"/>
              <w:right w:val="single" w:color="AAAAAA" w:sz="1"/>
            </w:tcBorders>
            <w:shd w:fill="2E7D32" w:val="clear"/>
            <w:tcMar>
              <w:top w:type="dxa" w:w="50"/>
              <w:left w:type="dxa" w:w="80"/>
              <w:bottom w:type="dxa" w:w="50"/>
              <w:right w:type="dxa" w:w="80"/>
            </w:tcMar>
            <w:vAlign w:val="center"/>
          </w:tcPr>
          <w:p>
            <w:pPr>
              <w:spacing w:after="120" w:line="276"/>
            </w:pPr>
            <w:r>
              <w:rPr>
                <w:rFonts w:ascii="Arial" w:cs="Arial" w:eastAsia="Arial" w:hAnsi="Arial"/>
                <w:b/>
                <w:bCs/>
                <w:color w:val="FFFFFF"/>
                <w:sz w:val="16"/>
                <w:szCs w:val="16"/>
              </w:rPr>
              <w:t xml:space="preserve">Frecuencia</w:t>
            </w:r>
          </w:p>
        </w:tc>
      </w:tr>
      <w:tr>
        <w:tc>
          <w:tcPr>
            <w:tcW w:type="dxa" w:w="1800"/>
            <w:tcBorders>
              <w:top w:val="single" w:color="AAAAAA" w:sz="1"/>
              <w:left w:val="single" w:color="AAAAAA" w:sz="1"/>
              <w:bottom w:val="single" w:color="AAAAAA" w:sz="1"/>
              <w:right w:val="single" w:color="AAAAAA" w:sz="1"/>
            </w:tcBorders>
            <w:shd w:fill="E8F5E9" w:val="clear"/>
            <w:tcMar>
              <w:top w:type="dxa" w:w="50"/>
              <w:left w:type="dxa" w:w="80"/>
              <w:bottom w:type="dxa" w:w="50"/>
              <w:right w:type="dxa" w:w="80"/>
            </w:tcMar>
            <w:vAlign w:val="center"/>
          </w:tcPr>
          <w:p>
            <w:pPr>
              <w:spacing w:after="120" w:line="276"/>
            </w:pPr>
            <w:r>
              <w:rPr>
                <w:rFonts w:ascii="Arial" w:cs="Arial" w:eastAsia="Arial" w:hAnsi="Arial"/>
                <w:b/>
                <w:bCs/>
                <w:color w:val="333333"/>
                <w:sz w:val="16"/>
                <w:szCs w:val="16"/>
              </w:rPr>
              <w:t xml:space="preserve">Ingenio Guabirá</w:t>
            </w:r>
          </w:p>
        </w:tc>
        <w:tc>
          <w:tcPr>
            <w:tcW w:type="dxa" w:w="1800"/>
            <w:tcBorders>
              <w:top w:val="single" w:color="AAAAAA" w:sz="1"/>
              <w:left w:val="single" w:color="AAAAAA" w:sz="1"/>
              <w:bottom w:val="single" w:color="AAAAAA" w:sz="1"/>
              <w:right w:val="single" w:color="AAAAAA" w:sz="1"/>
            </w:tcBorders>
            <w:shd w:fill="E8F5E9" w:val="clear"/>
            <w:tcMar>
              <w:top w:type="dxa" w:w="50"/>
              <w:left w:type="dxa" w:w="80"/>
              <w:bottom w:type="dxa" w:w="50"/>
              <w:right w:type="dxa" w:w="80"/>
            </w:tcMar>
            <w:vAlign w:val="center"/>
          </w:tcPr>
          <w:p>
            <w:pPr>
              <w:spacing w:after="120" w:line="276"/>
            </w:pPr>
            <w:r>
              <w:rPr>
                <w:rFonts w:ascii="Arial" w:cs="Arial" w:eastAsia="Arial" w:hAnsi="Arial"/>
                <w:color w:val="333333"/>
                <w:sz w:val="16"/>
                <w:szCs w:val="16"/>
              </w:rPr>
              <w:t xml:space="preserve">Melaza de caña</w:t>
            </w:r>
          </w:p>
        </w:tc>
        <w:tc>
          <w:tcPr>
            <w:tcW w:type="dxa" w:w="1800"/>
            <w:tcBorders>
              <w:top w:val="single" w:color="AAAAAA" w:sz="1"/>
              <w:left w:val="single" w:color="AAAAAA" w:sz="1"/>
              <w:bottom w:val="single" w:color="AAAAAA" w:sz="1"/>
              <w:right w:val="single" w:color="AAAAAA" w:sz="1"/>
            </w:tcBorders>
            <w:shd w:fill="E8F5E9" w:val="clear"/>
            <w:tcMar>
              <w:top w:type="dxa" w:w="50"/>
              <w:left w:type="dxa" w:w="80"/>
              <w:bottom w:type="dxa" w:w="50"/>
              <w:right w:type="dxa" w:w="80"/>
            </w:tcMar>
            <w:vAlign w:val="center"/>
          </w:tcPr>
          <w:p>
            <w:pPr>
              <w:spacing w:after="120" w:line="276"/>
            </w:pPr>
            <w:r>
              <w:rPr>
                <w:rFonts w:ascii="Arial" w:cs="Arial" w:eastAsia="Arial" w:hAnsi="Arial"/>
                <w:color w:val="333333"/>
                <w:sz w:val="16"/>
                <w:szCs w:val="16"/>
              </w:rPr>
              <w:t xml:space="preserve">Montero (50 km)</w:t>
            </w:r>
          </w:p>
        </w:tc>
        <w:tc>
          <w:tcPr>
            <w:tcW w:type="dxa" w:w="2000"/>
            <w:tcBorders>
              <w:top w:val="single" w:color="AAAAAA" w:sz="1"/>
              <w:left w:val="single" w:color="AAAAAA" w:sz="1"/>
              <w:bottom w:val="single" w:color="AAAAAA" w:sz="1"/>
              <w:right w:val="single" w:color="AAAAAA" w:sz="1"/>
            </w:tcBorders>
            <w:shd w:fill="E8F5E9" w:val="clear"/>
            <w:tcMar>
              <w:top w:type="dxa" w:w="50"/>
              <w:left w:type="dxa" w:w="80"/>
              <w:bottom w:type="dxa" w:w="50"/>
              <w:right w:type="dxa" w:w="80"/>
            </w:tcMar>
            <w:vAlign w:val="center"/>
          </w:tcPr>
          <w:p>
            <w:pPr>
              <w:spacing w:after="120" w:line="276"/>
            </w:pPr>
            <w:r>
              <w:rPr>
                <w:rFonts w:ascii="Arial" w:cs="Arial" w:eastAsia="Arial" w:hAnsi="Arial"/>
                <w:b/>
                <w:bCs/>
                <w:color w:val="2E7D32"/>
                <w:sz w:val="16"/>
                <w:szCs w:val="16"/>
              </w:rPr>
              <w:t xml:space="preserve">Bs 1.465/tn</w:t>
            </w:r>
          </w:p>
        </w:tc>
        <w:tc>
          <w:tcPr>
            <w:tcW w:type="dxa" w:w="1960"/>
            <w:tcBorders>
              <w:top w:val="single" w:color="AAAAAA" w:sz="1"/>
              <w:left w:val="single" w:color="AAAAAA" w:sz="1"/>
              <w:bottom w:val="single" w:color="AAAAAA" w:sz="1"/>
              <w:right w:val="single" w:color="AAAAAA" w:sz="1"/>
            </w:tcBorders>
            <w:shd w:fill="E8F5E9" w:val="clear"/>
            <w:tcMar>
              <w:top w:type="dxa" w:w="50"/>
              <w:left w:type="dxa" w:w="80"/>
              <w:bottom w:type="dxa" w:w="50"/>
              <w:right w:type="dxa" w:w="80"/>
            </w:tcMar>
            <w:vAlign w:val="center"/>
          </w:tcPr>
          <w:p>
            <w:pPr>
              <w:spacing w:after="120" w:line="276"/>
            </w:pPr>
            <w:r>
              <w:rPr>
                <w:rFonts w:ascii="Arial" w:cs="Arial" w:eastAsia="Arial" w:hAnsi="Arial"/>
                <w:color w:val="333333"/>
                <w:sz w:val="16"/>
                <w:szCs w:val="16"/>
              </w:rPr>
              <w:t xml:space="preserve">Quincenal</w:t>
            </w:r>
          </w:p>
        </w:tc>
      </w:tr>
      <w:tr>
        <w:tc>
          <w:tcPr>
            <w:tcW w:type="dxa" w:w="18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20" w:line="276"/>
            </w:pPr>
            <w:r>
              <w:rPr>
                <w:rFonts w:ascii="Arial" w:cs="Arial" w:eastAsia="Arial" w:hAnsi="Arial"/>
                <w:b/>
                <w:bCs/>
                <w:color w:val="333333"/>
                <w:sz w:val="16"/>
                <w:szCs w:val="16"/>
              </w:rPr>
              <w:t xml:space="preserve">FRIGOR S.A.</w:t>
            </w:r>
          </w:p>
        </w:tc>
        <w:tc>
          <w:tcPr>
            <w:tcW w:type="dxa" w:w="18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20" w:line="276"/>
            </w:pPr>
            <w:r>
              <w:rPr>
                <w:rFonts w:ascii="Arial" w:cs="Arial" w:eastAsia="Arial" w:hAnsi="Arial"/>
                <w:color w:val="333333"/>
                <w:sz w:val="16"/>
                <w:szCs w:val="16"/>
              </w:rPr>
              <w:t xml:space="preserve">Sangre, vísceras, huesos</w:t>
            </w:r>
          </w:p>
        </w:tc>
        <w:tc>
          <w:tcPr>
            <w:tcW w:type="dxa" w:w="18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20" w:line="276"/>
            </w:pPr>
            <w:r>
              <w:rPr>
                <w:rFonts w:ascii="Arial" w:cs="Arial" w:eastAsia="Arial" w:hAnsi="Arial"/>
                <w:color w:val="333333"/>
                <w:sz w:val="16"/>
                <w:szCs w:val="16"/>
              </w:rPr>
              <w:t xml:space="preserve">Parque Industrial SCZ</w:t>
            </w:r>
          </w:p>
        </w:tc>
        <w:tc>
          <w:tcPr>
            <w:tcW w:type="dxa" w:w="20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20" w:line="276"/>
            </w:pPr>
            <w:r>
              <w:rPr>
                <w:rFonts w:ascii="Arial" w:cs="Arial" w:eastAsia="Arial" w:hAnsi="Arial"/>
                <w:b/>
                <w:bCs/>
                <w:color w:val="2E7D32"/>
                <w:sz w:val="16"/>
                <w:szCs w:val="16"/>
              </w:rPr>
              <w:t xml:space="preserve">Gratis/cobro retiro</w:t>
            </w:r>
          </w:p>
        </w:tc>
        <w:tc>
          <w:tcPr>
            <w:tcW w:type="dxa" w:w="196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20" w:line="276"/>
            </w:pPr>
            <w:r>
              <w:rPr>
                <w:rFonts w:ascii="Arial" w:cs="Arial" w:eastAsia="Arial" w:hAnsi="Arial"/>
                <w:color w:val="333333"/>
                <w:sz w:val="16"/>
                <w:szCs w:val="16"/>
              </w:rPr>
              <w:t xml:space="preserve">3x/semana</w:t>
            </w:r>
          </w:p>
        </w:tc>
      </w:tr>
      <w:tr>
        <w:tc>
          <w:tcPr>
            <w:tcW w:type="dxa" w:w="1800"/>
            <w:tcBorders>
              <w:top w:val="single" w:color="AAAAAA" w:sz="1"/>
              <w:left w:val="single" w:color="AAAAAA" w:sz="1"/>
              <w:bottom w:val="single" w:color="AAAAAA" w:sz="1"/>
              <w:right w:val="single" w:color="AAAAAA" w:sz="1"/>
            </w:tcBorders>
            <w:shd w:fill="E8F5E9" w:val="clear"/>
            <w:tcMar>
              <w:top w:type="dxa" w:w="50"/>
              <w:left w:type="dxa" w:w="80"/>
              <w:bottom w:type="dxa" w:w="50"/>
              <w:right w:type="dxa" w:w="80"/>
            </w:tcMar>
            <w:vAlign w:val="center"/>
          </w:tcPr>
          <w:p>
            <w:pPr>
              <w:spacing w:after="120" w:line="276"/>
            </w:pPr>
            <w:r>
              <w:rPr>
                <w:rFonts w:ascii="Arial" w:cs="Arial" w:eastAsia="Arial" w:hAnsi="Arial"/>
                <w:b/>
                <w:bCs/>
                <w:color w:val="333333"/>
                <w:sz w:val="16"/>
                <w:szCs w:val="16"/>
              </w:rPr>
              <w:t xml:space="preserve">Matadero Municipal</w:t>
            </w:r>
          </w:p>
        </w:tc>
        <w:tc>
          <w:tcPr>
            <w:tcW w:type="dxa" w:w="1800"/>
            <w:tcBorders>
              <w:top w:val="single" w:color="AAAAAA" w:sz="1"/>
              <w:left w:val="single" w:color="AAAAAA" w:sz="1"/>
              <w:bottom w:val="single" w:color="AAAAAA" w:sz="1"/>
              <w:right w:val="single" w:color="AAAAAA" w:sz="1"/>
            </w:tcBorders>
            <w:shd w:fill="E8F5E9" w:val="clear"/>
            <w:tcMar>
              <w:top w:type="dxa" w:w="50"/>
              <w:left w:type="dxa" w:w="80"/>
              <w:bottom w:type="dxa" w:w="50"/>
              <w:right w:type="dxa" w:w="80"/>
            </w:tcMar>
            <w:vAlign w:val="center"/>
          </w:tcPr>
          <w:p>
            <w:pPr>
              <w:spacing w:after="120" w:line="276"/>
            </w:pPr>
            <w:r>
              <w:rPr>
                <w:rFonts w:ascii="Arial" w:cs="Arial" w:eastAsia="Arial" w:hAnsi="Arial"/>
                <w:color w:val="333333"/>
                <w:sz w:val="16"/>
                <w:szCs w:val="16"/>
              </w:rPr>
              <w:t xml:space="preserve">Sangre, rumen, huesos</w:t>
            </w:r>
          </w:p>
        </w:tc>
        <w:tc>
          <w:tcPr>
            <w:tcW w:type="dxa" w:w="1800"/>
            <w:tcBorders>
              <w:top w:val="single" w:color="AAAAAA" w:sz="1"/>
              <w:left w:val="single" w:color="AAAAAA" w:sz="1"/>
              <w:bottom w:val="single" w:color="AAAAAA" w:sz="1"/>
              <w:right w:val="single" w:color="AAAAAA" w:sz="1"/>
            </w:tcBorders>
            <w:shd w:fill="E8F5E9" w:val="clear"/>
            <w:tcMar>
              <w:top w:type="dxa" w:w="50"/>
              <w:left w:type="dxa" w:w="80"/>
              <w:bottom w:type="dxa" w:w="50"/>
              <w:right w:type="dxa" w:w="80"/>
            </w:tcMar>
            <w:vAlign w:val="center"/>
          </w:tcPr>
          <w:p>
            <w:pPr>
              <w:spacing w:after="120" w:line="276"/>
            </w:pPr>
            <w:r>
              <w:rPr>
                <w:rFonts w:ascii="Arial" w:cs="Arial" w:eastAsia="Arial" w:hAnsi="Arial"/>
                <w:color w:val="333333"/>
                <w:sz w:val="16"/>
                <w:szCs w:val="16"/>
              </w:rPr>
              <w:t xml:space="preserve">Carretera Cotoca</w:t>
            </w:r>
          </w:p>
        </w:tc>
        <w:tc>
          <w:tcPr>
            <w:tcW w:type="dxa" w:w="2000"/>
            <w:tcBorders>
              <w:top w:val="single" w:color="AAAAAA" w:sz="1"/>
              <w:left w:val="single" w:color="AAAAAA" w:sz="1"/>
              <w:bottom w:val="single" w:color="AAAAAA" w:sz="1"/>
              <w:right w:val="single" w:color="AAAAAA" w:sz="1"/>
            </w:tcBorders>
            <w:shd w:fill="E8F5E9" w:val="clear"/>
            <w:tcMar>
              <w:top w:type="dxa" w:w="50"/>
              <w:left w:type="dxa" w:w="80"/>
              <w:bottom w:type="dxa" w:w="50"/>
              <w:right w:type="dxa" w:w="80"/>
            </w:tcMar>
            <w:vAlign w:val="center"/>
          </w:tcPr>
          <w:p>
            <w:pPr>
              <w:spacing w:after="120" w:line="276"/>
            </w:pPr>
            <w:r>
              <w:rPr>
                <w:rFonts w:ascii="Arial" w:cs="Arial" w:eastAsia="Arial" w:hAnsi="Arial"/>
                <w:b/>
                <w:bCs/>
                <w:color w:val="2E7D32"/>
                <w:sz w:val="16"/>
                <w:szCs w:val="16"/>
              </w:rPr>
              <w:t xml:space="preserve">Gratis</w:t>
            </w:r>
          </w:p>
        </w:tc>
        <w:tc>
          <w:tcPr>
            <w:tcW w:type="dxa" w:w="1960"/>
            <w:tcBorders>
              <w:top w:val="single" w:color="AAAAAA" w:sz="1"/>
              <w:left w:val="single" w:color="AAAAAA" w:sz="1"/>
              <w:bottom w:val="single" w:color="AAAAAA" w:sz="1"/>
              <w:right w:val="single" w:color="AAAAAA" w:sz="1"/>
            </w:tcBorders>
            <w:shd w:fill="E8F5E9" w:val="clear"/>
            <w:tcMar>
              <w:top w:type="dxa" w:w="50"/>
              <w:left w:type="dxa" w:w="80"/>
              <w:bottom w:type="dxa" w:w="50"/>
              <w:right w:type="dxa" w:w="80"/>
            </w:tcMar>
            <w:vAlign w:val="center"/>
          </w:tcPr>
          <w:p>
            <w:pPr>
              <w:spacing w:after="120" w:line="276"/>
            </w:pPr>
            <w:r>
              <w:rPr>
                <w:rFonts w:ascii="Arial" w:cs="Arial" w:eastAsia="Arial" w:hAnsi="Arial"/>
                <w:color w:val="333333"/>
                <w:sz w:val="16"/>
                <w:szCs w:val="16"/>
              </w:rPr>
              <w:t xml:space="preserve">3x/semana</w:t>
            </w:r>
          </w:p>
        </w:tc>
      </w:tr>
      <w:tr>
        <w:tc>
          <w:tcPr>
            <w:tcW w:type="dxa" w:w="18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20" w:line="276"/>
            </w:pPr>
            <w:r>
              <w:rPr>
                <w:rFonts w:ascii="Arial" w:cs="Arial" w:eastAsia="Arial" w:hAnsi="Arial"/>
                <w:b/>
                <w:bCs/>
                <w:color w:val="333333"/>
                <w:sz w:val="16"/>
                <w:szCs w:val="16"/>
              </w:rPr>
              <w:t xml:space="preserve">Arroceras norte integrado</w:t>
            </w:r>
          </w:p>
        </w:tc>
        <w:tc>
          <w:tcPr>
            <w:tcW w:type="dxa" w:w="18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20" w:line="276"/>
            </w:pPr>
            <w:r>
              <w:rPr>
                <w:rFonts w:ascii="Arial" w:cs="Arial" w:eastAsia="Arial" w:hAnsi="Arial"/>
                <w:color w:val="333333"/>
                <w:sz w:val="16"/>
                <w:szCs w:val="16"/>
              </w:rPr>
              <w:t xml:space="preserve">Cascarilla de arroz</w:t>
            </w:r>
          </w:p>
        </w:tc>
        <w:tc>
          <w:tcPr>
            <w:tcW w:type="dxa" w:w="18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20" w:line="276"/>
            </w:pPr>
            <w:r>
              <w:rPr>
                <w:rFonts w:ascii="Arial" w:cs="Arial" w:eastAsia="Arial" w:hAnsi="Arial"/>
                <w:color w:val="333333"/>
                <w:sz w:val="16"/>
                <w:szCs w:val="16"/>
              </w:rPr>
              <w:t xml:space="preserve">Montero-Warnes</w:t>
            </w:r>
          </w:p>
        </w:tc>
        <w:tc>
          <w:tcPr>
            <w:tcW w:type="dxa" w:w="20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20" w:line="276"/>
            </w:pPr>
            <w:r>
              <w:rPr>
                <w:rFonts w:ascii="Arial" w:cs="Arial" w:eastAsia="Arial" w:hAnsi="Arial"/>
                <w:b/>
                <w:bCs/>
                <w:color w:val="2E7D32"/>
                <w:sz w:val="16"/>
                <w:szCs w:val="16"/>
              </w:rPr>
              <w:t xml:space="preserve">Gratis</w:t>
            </w:r>
          </w:p>
        </w:tc>
        <w:tc>
          <w:tcPr>
            <w:tcW w:type="dxa" w:w="196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20" w:line="276"/>
            </w:pPr>
            <w:r>
              <w:rPr>
                <w:rFonts w:ascii="Arial" w:cs="Arial" w:eastAsia="Arial" w:hAnsi="Arial"/>
                <w:color w:val="333333"/>
                <w:sz w:val="16"/>
                <w:szCs w:val="16"/>
              </w:rPr>
              <w:t xml:space="preserve">Mensual</w:t>
            </w:r>
          </w:p>
        </w:tc>
      </w:tr>
      <w:tr>
        <w:tc>
          <w:tcPr>
            <w:tcW w:type="dxa" w:w="1800"/>
            <w:tcBorders>
              <w:top w:val="single" w:color="AAAAAA" w:sz="1"/>
              <w:left w:val="single" w:color="AAAAAA" w:sz="1"/>
              <w:bottom w:val="single" w:color="AAAAAA" w:sz="1"/>
              <w:right w:val="single" w:color="AAAAAA" w:sz="1"/>
            </w:tcBorders>
            <w:shd w:fill="E8F5E9" w:val="clear"/>
            <w:tcMar>
              <w:top w:type="dxa" w:w="50"/>
              <w:left w:type="dxa" w:w="80"/>
              <w:bottom w:type="dxa" w:w="50"/>
              <w:right w:type="dxa" w:w="80"/>
            </w:tcMar>
            <w:vAlign w:val="center"/>
          </w:tcPr>
          <w:p>
            <w:pPr>
              <w:spacing w:after="120" w:line="276"/>
            </w:pPr>
            <w:r>
              <w:rPr>
                <w:rFonts w:ascii="Arial" w:cs="Arial" w:eastAsia="Arial" w:hAnsi="Arial"/>
                <w:b/>
                <w:bCs/>
                <w:color w:val="333333"/>
                <w:sz w:val="16"/>
                <w:szCs w:val="16"/>
              </w:rPr>
              <w:t xml:space="preserve">Aceiteras SCZ</w:t>
            </w:r>
          </w:p>
        </w:tc>
        <w:tc>
          <w:tcPr>
            <w:tcW w:type="dxa" w:w="1800"/>
            <w:tcBorders>
              <w:top w:val="single" w:color="AAAAAA" w:sz="1"/>
              <w:left w:val="single" w:color="AAAAAA" w:sz="1"/>
              <w:bottom w:val="single" w:color="AAAAAA" w:sz="1"/>
              <w:right w:val="single" w:color="AAAAAA" w:sz="1"/>
            </w:tcBorders>
            <w:shd w:fill="E8F5E9" w:val="clear"/>
            <w:tcMar>
              <w:top w:type="dxa" w:w="50"/>
              <w:left w:type="dxa" w:w="80"/>
              <w:bottom w:type="dxa" w:w="50"/>
              <w:right w:type="dxa" w:w="80"/>
            </w:tcMar>
            <w:vAlign w:val="center"/>
          </w:tcPr>
          <w:p>
            <w:pPr>
              <w:spacing w:after="120" w:line="276"/>
            </w:pPr>
            <w:r>
              <w:rPr>
                <w:rFonts w:ascii="Arial" w:cs="Arial" w:eastAsia="Arial" w:hAnsi="Arial"/>
                <w:color w:val="333333"/>
                <w:sz w:val="16"/>
                <w:szCs w:val="16"/>
              </w:rPr>
              <w:t xml:space="preserve">Afrecho de soya</w:t>
            </w:r>
          </w:p>
        </w:tc>
        <w:tc>
          <w:tcPr>
            <w:tcW w:type="dxa" w:w="1800"/>
            <w:tcBorders>
              <w:top w:val="single" w:color="AAAAAA" w:sz="1"/>
              <w:left w:val="single" w:color="AAAAAA" w:sz="1"/>
              <w:bottom w:val="single" w:color="AAAAAA" w:sz="1"/>
              <w:right w:val="single" w:color="AAAAAA" w:sz="1"/>
            </w:tcBorders>
            <w:shd w:fill="E8F5E9" w:val="clear"/>
            <w:tcMar>
              <w:top w:type="dxa" w:w="50"/>
              <w:left w:type="dxa" w:w="80"/>
              <w:bottom w:type="dxa" w:w="50"/>
              <w:right w:type="dxa" w:w="80"/>
            </w:tcMar>
            <w:vAlign w:val="center"/>
          </w:tcPr>
          <w:p>
            <w:pPr>
              <w:spacing w:after="120" w:line="276"/>
            </w:pPr>
            <w:r>
              <w:rPr>
                <w:rFonts w:ascii="Arial" w:cs="Arial" w:eastAsia="Arial" w:hAnsi="Arial"/>
                <w:color w:val="333333"/>
                <w:sz w:val="16"/>
                <w:szCs w:val="16"/>
              </w:rPr>
              <w:t xml:space="preserve">SCZ</w:t>
            </w:r>
          </w:p>
        </w:tc>
        <w:tc>
          <w:tcPr>
            <w:tcW w:type="dxa" w:w="2000"/>
            <w:tcBorders>
              <w:top w:val="single" w:color="AAAAAA" w:sz="1"/>
              <w:left w:val="single" w:color="AAAAAA" w:sz="1"/>
              <w:bottom w:val="single" w:color="AAAAAA" w:sz="1"/>
              <w:right w:val="single" w:color="AAAAAA" w:sz="1"/>
            </w:tcBorders>
            <w:shd w:fill="E8F5E9" w:val="clear"/>
            <w:tcMar>
              <w:top w:type="dxa" w:w="50"/>
              <w:left w:type="dxa" w:w="80"/>
              <w:bottom w:type="dxa" w:w="50"/>
              <w:right w:type="dxa" w:w="80"/>
            </w:tcMar>
            <w:vAlign w:val="center"/>
          </w:tcPr>
          <w:p>
            <w:pPr>
              <w:spacing w:after="120" w:line="276"/>
            </w:pPr>
            <w:r>
              <w:rPr>
                <w:rFonts w:ascii="Arial" w:cs="Arial" w:eastAsia="Arial" w:hAnsi="Arial"/>
                <w:b/>
                <w:bCs/>
                <w:color w:val="2E7D32"/>
                <w:sz w:val="16"/>
                <w:szCs w:val="16"/>
              </w:rPr>
              <w:t xml:space="preserve">Bajo costo</w:t>
            </w:r>
          </w:p>
        </w:tc>
        <w:tc>
          <w:tcPr>
            <w:tcW w:type="dxa" w:w="1960"/>
            <w:tcBorders>
              <w:top w:val="single" w:color="AAAAAA" w:sz="1"/>
              <w:left w:val="single" w:color="AAAAAA" w:sz="1"/>
              <w:bottom w:val="single" w:color="AAAAAA" w:sz="1"/>
              <w:right w:val="single" w:color="AAAAAA" w:sz="1"/>
            </w:tcBorders>
            <w:shd w:fill="E8F5E9" w:val="clear"/>
            <w:tcMar>
              <w:top w:type="dxa" w:w="50"/>
              <w:left w:type="dxa" w:w="80"/>
              <w:bottom w:type="dxa" w:w="50"/>
              <w:right w:type="dxa" w:w="80"/>
            </w:tcMar>
            <w:vAlign w:val="center"/>
          </w:tcPr>
          <w:p>
            <w:pPr>
              <w:spacing w:after="120" w:line="276"/>
            </w:pPr>
            <w:r>
              <w:rPr>
                <w:rFonts w:ascii="Arial" w:cs="Arial" w:eastAsia="Arial" w:hAnsi="Arial"/>
                <w:color w:val="333333"/>
                <w:sz w:val="16"/>
                <w:szCs w:val="16"/>
              </w:rPr>
              <w:t xml:space="preserve">Quincenal</w:t>
            </w:r>
          </w:p>
        </w:tc>
      </w:tr>
      <w:tr>
        <w:tc>
          <w:tcPr>
            <w:tcW w:type="dxa" w:w="18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20" w:line="276"/>
            </w:pPr>
            <w:r>
              <w:rPr>
                <w:rFonts w:ascii="Arial" w:cs="Arial" w:eastAsia="Arial" w:hAnsi="Arial"/>
                <w:b/>
                <w:bCs/>
                <w:color w:val="333333"/>
                <w:sz w:val="16"/>
                <w:szCs w:val="16"/>
              </w:rPr>
              <w:t xml:space="preserve">Agropecuarias locales</w:t>
            </w:r>
          </w:p>
        </w:tc>
        <w:tc>
          <w:tcPr>
            <w:tcW w:type="dxa" w:w="18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20" w:line="276"/>
            </w:pPr>
            <w:r>
              <w:rPr>
                <w:rFonts w:ascii="Arial" w:cs="Arial" w:eastAsia="Arial" w:hAnsi="Arial"/>
                <w:color w:val="333333"/>
                <w:sz w:val="16"/>
                <w:szCs w:val="16"/>
              </w:rPr>
              <w:t xml:space="preserve">Urea, azufre, sal mineralizada</w:t>
            </w:r>
          </w:p>
        </w:tc>
        <w:tc>
          <w:tcPr>
            <w:tcW w:type="dxa" w:w="18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20" w:line="276"/>
            </w:pPr>
            <w:r>
              <w:rPr>
                <w:rFonts w:ascii="Arial" w:cs="Arial" w:eastAsia="Arial" w:hAnsi="Arial"/>
                <w:color w:val="333333"/>
                <w:sz w:val="16"/>
                <w:szCs w:val="16"/>
              </w:rPr>
              <w:t xml:space="preserve">SCZ</w:t>
            </w:r>
          </w:p>
        </w:tc>
        <w:tc>
          <w:tcPr>
            <w:tcW w:type="dxa" w:w="20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20" w:line="276"/>
            </w:pPr>
            <w:r>
              <w:rPr>
                <w:rFonts w:ascii="Arial" w:cs="Arial" w:eastAsia="Arial" w:hAnsi="Arial"/>
                <w:b/>
                <w:bCs/>
                <w:color w:val="2E7D32"/>
                <w:sz w:val="16"/>
                <w:szCs w:val="16"/>
              </w:rPr>
              <w:t xml:space="preserve">Comercial</w:t>
            </w:r>
          </w:p>
        </w:tc>
        <w:tc>
          <w:tcPr>
            <w:tcW w:type="dxa" w:w="196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20" w:line="276"/>
            </w:pPr>
            <w:r>
              <w:rPr>
                <w:rFonts w:ascii="Arial" w:cs="Arial" w:eastAsia="Arial" w:hAnsi="Arial"/>
                <w:color w:val="333333"/>
                <w:sz w:val="16"/>
                <w:szCs w:val="16"/>
              </w:rPr>
              <w:t xml:space="preserve">Mensual</w:t>
            </w:r>
          </w:p>
        </w:tc>
      </w:tr>
    </w:tbl>
    <w:p>
      <w:pPr>
        <w:spacing w:after="80"/>
      </w:pPr>
      <w:r>
        <w:rPr>
          <w:rFonts w:ascii="Arial" w:cs="Arial" w:eastAsia="Arial" w:hAnsi="Arial"/>
          <w:color w:val="333333"/>
          <w:sz w:val="24"/>
          <w:szCs w:val="24"/>
        </w:rPr>
        <w:t xml:space="preserve"/>
      </w:r>
    </w:p>
    <w:p>
      <w:pPr>
        <w:pStyle w:val="Heading3"/>
        <w:spacing w:before="160" w:after="120"/>
      </w:pPr>
      <w:r>
        <w:rPr>
          <w:rFonts w:ascii="Arial" w:cs="Arial" w:eastAsia="Arial" w:hAnsi="Arial"/>
          <w:b/>
          <w:bCs/>
          <w:color w:val="E65100"/>
          <w:sz w:val="24"/>
          <w:szCs w:val="24"/>
        </w:rPr>
        <w:t xml:space="preserve">2.6 Capacidad instalada</w:t>
      </w:r>
    </w:p>
    <w:p>
      <w:pPr>
        <w:spacing w:after="140" w:line="300"/>
      </w:pPr>
      <w:r>
        <w:rPr>
          <w:rFonts w:ascii="Arial" w:cs="Arial" w:eastAsia="Arial" w:hAnsi="Arial"/>
          <w:color w:val="333333"/>
          <w:sz w:val="24"/>
          <w:szCs w:val="24"/>
        </w:rPr>
        <w:t xml:space="preserve">Fase 1 (año 1): 500 kg-1 tn/día = 20-40 bloques de 25 kg/día. Producción mensual: 400-800 bloques. Producción anual: 4.800-9.600 bloques (120-240 tn). Fase 2 (año 2-3): ampliación a 2 tn/día con segundo turno y maquinaria adicional. Capacidad máxima con infraestructura actual: 3 tn/día (120 bloques). El cuello de botella es el fraguado (24h) y secado (3-5 días), que requiere espacio de almacenamiento ventilado.</w:t>
      </w:r>
    </w:p>
    <w:p>
      <w:pPr>
        <w:pStyle w:val="Heading3"/>
        <w:spacing w:before="160" w:after="120"/>
      </w:pPr>
      <w:r>
        <w:rPr>
          <w:rFonts w:ascii="Arial" w:cs="Arial" w:eastAsia="Arial" w:hAnsi="Arial"/>
          <w:b/>
          <w:bCs/>
          <w:color w:val="E65100"/>
          <w:sz w:val="24"/>
          <w:szCs w:val="24"/>
        </w:rPr>
        <w:t xml:space="preserve">2.7 Diseño y distribución de planta</w:t>
      </w:r>
    </w:p>
    <w:p>
      <w:pPr>
        <w:spacing w:after="140" w:line="300"/>
      </w:pPr>
      <w:r>
        <w:rPr>
          <w:rFonts w:ascii="Arial" w:cs="Arial" w:eastAsia="Arial" w:hAnsi="Arial"/>
          <w:color w:val="333333"/>
          <w:sz w:val="24"/>
          <w:szCs w:val="24"/>
        </w:rPr>
        <w:t xml:space="preserve">Área total requerida: 300-500 m² en zona industrial de Santa Cruz. Distribución: Zona de recepción y almacenamiento de MP (60 m²) → Zona de procesamiento de harinas (40 m²) → Granja BSF cubierta y ventilada (50 m²) → Zona de mezclado y moldeado (40 m²) → Zona de fraguado y secado ventilada bajo techo (80 m²) → Zona de empaque y producto terminado (30 m²) → Oficina administrativa (20 m²) → Estacionamiento y carga (40 m²). Ubicación preferente: Parque Industrial PI-44 o zona Warnes (cercanía a mataderos y arroceras).</w:t>
      </w:r>
    </w:p>
    <w:p>
      <w:pPr>
        <w:pStyle w:val="Heading3"/>
        <w:spacing w:before="160" w:after="120"/>
      </w:pPr>
      <w:r>
        <w:rPr>
          <w:rFonts w:ascii="Arial" w:cs="Arial" w:eastAsia="Arial" w:hAnsi="Arial"/>
          <w:b/>
          <w:bCs/>
          <w:color w:val="E65100"/>
          <w:sz w:val="24"/>
          <w:szCs w:val="24"/>
        </w:rPr>
        <w:t xml:space="preserve">2.8 Mano de obra requerida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600"/>
        <w:gridCol w:w="2000"/>
        <w:gridCol w:w="2600"/>
        <w:gridCol w:w="2360"/>
      </w:tblGrid>
      <w:tr>
        <w:tc>
          <w:tcPr>
            <w:tcW w:type="dxa" w:w="1800"/>
            <w:tcBorders>
              <w:top w:val="single" w:color="AAAAAA" w:sz="1"/>
              <w:left w:val="single" w:color="AAAAAA" w:sz="1"/>
              <w:bottom w:val="single" w:color="AAAAAA" w:sz="1"/>
              <w:right w:val="single" w:color="AAAAAA" w:sz="1"/>
            </w:tcBorders>
            <w:shd w:fill="7B1FA2" w:val="clear"/>
            <w:tcMar>
              <w:top w:type="dxa" w:w="50"/>
              <w:left w:type="dxa" w:w="80"/>
              <w:bottom w:type="dxa" w:w="50"/>
              <w:right w:type="dxa" w:w="80"/>
            </w:tcMar>
            <w:vAlign w:val="center"/>
          </w:tcPr>
          <w:p>
            <w:pPr>
              <w:spacing w:after="120" w:line="276"/>
            </w:pPr>
            <w:r>
              <w:rPr>
                <w:rFonts w:ascii="Arial" w:cs="Arial" w:eastAsia="Arial" w:hAnsi="Arial"/>
                <w:b/>
                <w:bCs/>
                <w:color w:val="FFFFFF"/>
                <w:sz w:val="16"/>
                <w:szCs w:val="16"/>
              </w:rPr>
              <w:t xml:space="preserve">Cargo</w:t>
            </w:r>
          </w:p>
        </w:tc>
        <w:tc>
          <w:tcPr>
            <w:tcW w:type="dxa" w:w="600"/>
            <w:tcBorders>
              <w:top w:val="single" w:color="AAAAAA" w:sz="1"/>
              <w:left w:val="single" w:color="AAAAAA" w:sz="1"/>
              <w:bottom w:val="single" w:color="AAAAAA" w:sz="1"/>
              <w:right w:val="single" w:color="AAAAAA" w:sz="1"/>
            </w:tcBorders>
            <w:shd w:fill="7B1FA2" w:val="clear"/>
            <w:tcMar>
              <w:top w:type="dxa" w:w="50"/>
              <w:left w:type="dxa" w:w="80"/>
              <w:bottom w:type="dxa" w:w="50"/>
              <w:right w:type="dxa" w:w="80"/>
            </w:tcMar>
            <w:vAlign w:val="center"/>
          </w:tcPr>
          <w:p>
            <w:pPr>
              <w:spacing w:after="120" w:line="276"/>
            </w:pPr>
            <w:r>
              <w:rPr>
                <w:rFonts w:ascii="Arial" w:cs="Arial" w:eastAsia="Arial" w:hAnsi="Arial"/>
                <w:b/>
                <w:bCs/>
                <w:color w:val="FFFFFF"/>
                <w:sz w:val="16"/>
                <w:szCs w:val="16"/>
              </w:rPr>
              <w:t xml:space="preserve">Cant.</w:t>
            </w:r>
          </w:p>
        </w:tc>
        <w:tc>
          <w:tcPr>
            <w:tcW w:type="dxa" w:w="2000"/>
            <w:tcBorders>
              <w:top w:val="single" w:color="AAAAAA" w:sz="1"/>
              <w:left w:val="single" w:color="AAAAAA" w:sz="1"/>
              <w:bottom w:val="single" w:color="AAAAAA" w:sz="1"/>
              <w:right w:val="single" w:color="AAAAAA" w:sz="1"/>
            </w:tcBorders>
            <w:shd w:fill="7B1FA2" w:val="clear"/>
            <w:tcMar>
              <w:top w:type="dxa" w:w="50"/>
              <w:left w:type="dxa" w:w="80"/>
              <w:bottom w:type="dxa" w:w="50"/>
              <w:right w:type="dxa" w:w="80"/>
            </w:tcMar>
            <w:vAlign w:val="center"/>
          </w:tcPr>
          <w:p>
            <w:pPr>
              <w:spacing w:after="120" w:line="276"/>
            </w:pPr>
            <w:r>
              <w:rPr>
                <w:rFonts w:ascii="Arial" w:cs="Arial" w:eastAsia="Arial" w:hAnsi="Arial"/>
                <w:b/>
                <w:bCs/>
                <w:color w:val="FFFFFF"/>
                <w:sz w:val="16"/>
                <w:szCs w:val="16"/>
              </w:rPr>
              <w:t xml:space="preserve">Perfil</w:t>
            </w:r>
          </w:p>
        </w:tc>
        <w:tc>
          <w:tcPr>
            <w:tcW w:type="dxa" w:w="2600"/>
            <w:tcBorders>
              <w:top w:val="single" w:color="AAAAAA" w:sz="1"/>
              <w:left w:val="single" w:color="AAAAAA" w:sz="1"/>
              <w:bottom w:val="single" w:color="AAAAAA" w:sz="1"/>
              <w:right w:val="single" w:color="AAAAAA" w:sz="1"/>
            </w:tcBorders>
            <w:shd w:fill="7B1FA2" w:val="clear"/>
            <w:tcMar>
              <w:top w:type="dxa" w:w="50"/>
              <w:left w:type="dxa" w:w="80"/>
              <w:bottom w:type="dxa" w:w="50"/>
              <w:right w:type="dxa" w:w="80"/>
            </w:tcMar>
            <w:vAlign w:val="center"/>
          </w:tcPr>
          <w:p>
            <w:pPr>
              <w:spacing w:after="120" w:line="276"/>
            </w:pPr>
            <w:r>
              <w:rPr>
                <w:rFonts w:ascii="Arial" w:cs="Arial" w:eastAsia="Arial" w:hAnsi="Arial"/>
                <w:b/>
                <w:bCs/>
                <w:color w:val="FFFFFF"/>
                <w:sz w:val="16"/>
                <w:szCs w:val="16"/>
              </w:rPr>
              <w:t xml:space="preserve">Función</w:t>
            </w:r>
          </w:p>
        </w:tc>
        <w:tc>
          <w:tcPr>
            <w:tcW w:type="dxa" w:w="2360"/>
            <w:tcBorders>
              <w:top w:val="single" w:color="AAAAAA" w:sz="1"/>
              <w:left w:val="single" w:color="AAAAAA" w:sz="1"/>
              <w:bottom w:val="single" w:color="AAAAAA" w:sz="1"/>
              <w:right w:val="single" w:color="AAAAAA" w:sz="1"/>
            </w:tcBorders>
            <w:shd w:fill="7B1FA2" w:val="clear"/>
            <w:tcMar>
              <w:top w:type="dxa" w:w="50"/>
              <w:left w:type="dxa" w:w="80"/>
              <w:bottom w:type="dxa" w:w="50"/>
              <w:right w:type="dxa" w:w="80"/>
            </w:tcMar>
            <w:vAlign w:val="center"/>
          </w:tcPr>
          <w:p>
            <w:pPr>
              <w:spacing w:after="120" w:line="276"/>
            </w:pPr>
            <w:r>
              <w:rPr>
                <w:rFonts w:ascii="Arial" w:cs="Arial" w:eastAsia="Arial" w:hAnsi="Arial"/>
                <w:b/>
                <w:bCs/>
                <w:color w:val="FFFFFF"/>
                <w:sz w:val="16"/>
                <w:szCs w:val="16"/>
              </w:rPr>
              <w:t xml:space="preserve">Salario/mes</w:t>
            </w:r>
          </w:p>
        </w:tc>
      </w:tr>
      <w:tr>
        <w:tc>
          <w:tcPr>
            <w:tcW w:type="dxa" w:w="1800"/>
            <w:tcBorders>
              <w:top w:val="single" w:color="AAAAAA" w:sz="1"/>
              <w:left w:val="single" w:color="AAAAAA" w:sz="1"/>
              <w:bottom w:val="single" w:color="AAAAAA" w:sz="1"/>
              <w:right w:val="single" w:color="AAAAAA" w:sz="1"/>
            </w:tcBorders>
            <w:shd w:fill="F3E5F5" w:val="clear"/>
            <w:tcMar>
              <w:top w:type="dxa" w:w="50"/>
              <w:left w:type="dxa" w:w="80"/>
              <w:bottom w:type="dxa" w:w="50"/>
              <w:right w:type="dxa" w:w="80"/>
            </w:tcMar>
            <w:vAlign w:val="center"/>
          </w:tcPr>
          <w:p>
            <w:pPr>
              <w:spacing w:after="120" w:line="276"/>
            </w:pPr>
            <w:r>
              <w:rPr>
                <w:rFonts w:ascii="Arial" w:cs="Arial" w:eastAsia="Arial" w:hAnsi="Arial"/>
                <w:b/>
                <w:bCs/>
                <w:color w:val="333333"/>
                <w:sz w:val="16"/>
                <w:szCs w:val="16"/>
              </w:rPr>
              <w:t xml:space="preserve">Jefe de planta</w:t>
            </w:r>
          </w:p>
        </w:tc>
        <w:tc>
          <w:tcPr>
            <w:tcW w:type="dxa" w:w="600"/>
            <w:tcBorders>
              <w:top w:val="single" w:color="AAAAAA" w:sz="1"/>
              <w:left w:val="single" w:color="AAAAAA" w:sz="1"/>
              <w:bottom w:val="single" w:color="AAAAAA" w:sz="1"/>
              <w:right w:val="single" w:color="AAAAAA" w:sz="1"/>
            </w:tcBorders>
            <w:shd w:fill="F3E5F5" w:val="clear"/>
            <w:tcMar>
              <w:top w:type="dxa" w:w="50"/>
              <w:left w:type="dxa" w:w="80"/>
              <w:bottom w:type="dxa" w:w="50"/>
              <w:right w:type="dxa" w:w="80"/>
            </w:tcMar>
            <w:vAlign w:val="center"/>
          </w:tcPr>
          <w:p>
            <w:pPr>
              <w:spacing w:after="120" w:line="276"/>
            </w:pPr>
            <w:r>
              <w:rPr>
                <w:rFonts w:ascii="Arial" w:cs="Arial" w:eastAsia="Arial" w:hAnsi="Arial"/>
                <w:color w:val="333333"/>
                <w:sz w:val="16"/>
                <w:szCs w:val="16"/>
              </w:rPr>
              <w:t xml:space="preserve">1</w:t>
            </w:r>
          </w:p>
        </w:tc>
        <w:tc>
          <w:tcPr>
            <w:tcW w:type="dxa" w:w="2000"/>
            <w:tcBorders>
              <w:top w:val="single" w:color="AAAAAA" w:sz="1"/>
              <w:left w:val="single" w:color="AAAAAA" w:sz="1"/>
              <w:bottom w:val="single" w:color="AAAAAA" w:sz="1"/>
              <w:right w:val="single" w:color="AAAAAA" w:sz="1"/>
            </w:tcBorders>
            <w:shd w:fill="F3E5F5" w:val="clear"/>
            <w:tcMar>
              <w:top w:type="dxa" w:w="50"/>
              <w:left w:type="dxa" w:w="80"/>
              <w:bottom w:type="dxa" w:w="50"/>
              <w:right w:type="dxa" w:w="80"/>
            </w:tcMar>
            <w:vAlign w:val="center"/>
          </w:tcPr>
          <w:p>
            <w:pPr>
              <w:spacing w:after="120" w:line="276"/>
            </w:pPr>
            <w:r>
              <w:rPr>
                <w:rFonts w:ascii="Arial" w:cs="Arial" w:eastAsia="Arial" w:hAnsi="Arial"/>
                <w:color w:val="333333"/>
                <w:sz w:val="16"/>
                <w:szCs w:val="16"/>
              </w:rPr>
              <w:t xml:space="preserve">Ingeniero agrónomo o industrial</w:t>
            </w:r>
          </w:p>
        </w:tc>
        <w:tc>
          <w:tcPr>
            <w:tcW w:type="dxa" w:w="2600"/>
            <w:tcBorders>
              <w:top w:val="single" w:color="AAAAAA" w:sz="1"/>
              <w:left w:val="single" w:color="AAAAAA" w:sz="1"/>
              <w:bottom w:val="single" w:color="AAAAAA" w:sz="1"/>
              <w:right w:val="single" w:color="AAAAAA" w:sz="1"/>
            </w:tcBorders>
            <w:shd w:fill="F3E5F5" w:val="clear"/>
            <w:tcMar>
              <w:top w:type="dxa" w:w="50"/>
              <w:left w:type="dxa" w:w="80"/>
              <w:bottom w:type="dxa" w:w="50"/>
              <w:right w:type="dxa" w:w="80"/>
            </w:tcMar>
            <w:vAlign w:val="center"/>
          </w:tcPr>
          <w:p>
            <w:pPr>
              <w:spacing w:after="120" w:line="276"/>
            </w:pPr>
            <w:r>
              <w:rPr>
                <w:rFonts w:ascii="Arial" w:cs="Arial" w:eastAsia="Arial" w:hAnsi="Arial"/>
                <w:color w:val="333333"/>
                <w:sz w:val="16"/>
                <w:szCs w:val="16"/>
              </w:rPr>
              <w:t xml:space="preserve">Supervisión general, control calidad</w:t>
            </w:r>
          </w:p>
        </w:tc>
        <w:tc>
          <w:tcPr>
            <w:tcW w:type="dxa" w:w="2360"/>
            <w:tcBorders>
              <w:top w:val="single" w:color="AAAAAA" w:sz="1"/>
              <w:left w:val="single" w:color="AAAAAA" w:sz="1"/>
              <w:bottom w:val="single" w:color="AAAAAA" w:sz="1"/>
              <w:right w:val="single" w:color="AAAAAA" w:sz="1"/>
            </w:tcBorders>
            <w:shd w:fill="F3E5F5" w:val="clear"/>
            <w:tcMar>
              <w:top w:type="dxa" w:w="50"/>
              <w:left w:type="dxa" w:w="80"/>
              <w:bottom w:type="dxa" w:w="50"/>
              <w:right w:type="dxa" w:w="80"/>
            </w:tcMar>
            <w:vAlign w:val="center"/>
          </w:tcPr>
          <w:p>
            <w:pPr>
              <w:spacing w:after="120" w:line="276"/>
            </w:pPr>
            <w:r>
              <w:rPr>
                <w:rFonts w:ascii="Arial" w:cs="Arial" w:eastAsia="Arial" w:hAnsi="Arial"/>
                <w:b/>
                <w:bCs/>
                <w:color w:val="7B1FA2"/>
                <w:sz w:val="16"/>
                <w:szCs w:val="16"/>
              </w:rPr>
              <w:t xml:space="preserve">Bs 4.500-6.000</w:t>
            </w:r>
          </w:p>
        </w:tc>
      </w:tr>
      <w:tr>
        <w:tc>
          <w:tcPr>
            <w:tcW w:type="dxa" w:w="18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20" w:line="276"/>
            </w:pPr>
            <w:r>
              <w:rPr>
                <w:rFonts w:ascii="Arial" w:cs="Arial" w:eastAsia="Arial" w:hAnsi="Arial"/>
                <w:b/>
                <w:bCs/>
                <w:color w:val="333333"/>
                <w:sz w:val="16"/>
                <w:szCs w:val="16"/>
              </w:rPr>
              <w:t xml:space="preserve">Operarios de producción</w:t>
            </w:r>
          </w:p>
        </w:tc>
        <w:tc>
          <w:tcPr>
            <w:tcW w:type="dxa" w:w="6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20" w:line="276"/>
            </w:pPr>
            <w:r>
              <w:rPr>
                <w:rFonts w:ascii="Arial" w:cs="Arial" w:eastAsia="Arial" w:hAnsi="Arial"/>
                <w:color w:val="333333"/>
                <w:sz w:val="16"/>
                <w:szCs w:val="16"/>
              </w:rPr>
              <w:t xml:space="preserve">3-4</w:t>
            </w:r>
          </w:p>
        </w:tc>
        <w:tc>
          <w:tcPr>
            <w:tcW w:type="dxa" w:w="20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20" w:line="276"/>
            </w:pPr>
            <w:r>
              <w:rPr>
                <w:rFonts w:ascii="Arial" w:cs="Arial" w:eastAsia="Arial" w:hAnsi="Arial"/>
                <w:color w:val="333333"/>
                <w:sz w:val="16"/>
                <w:szCs w:val="16"/>
              </w:rPr>
              <w:t xml:space="preserve">Capacitación interna</w:t>
            </w:r>
          </w:p>
        </w:tc>
        <w:tc>
          <w:tcPr>
            <w:tcW w:type="dxa" w:w="26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20" w:line="276"/>
            </w:pPr>
            <w:r>
              <w:rPr>
                <w:rFonts w:ascii="Arial" w:cs="Arial" w:eastAsia="Arial" w:hAnsi="Arial"/>
                <w:color w:val="333333"/>
                <w:sz w:val="16"/>
                <w:szCs w:val="16"/>
              </w:rPr>
              <w:t xml:space="preserve">Mezclado, moldeado, empaque</w:t>
            </w:r>
          </w:p>
        </w:tc>
        <w:tc>
          <w:tcPr>
            <w:tcW w:type="dxa" w:w="236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20" w:line="276"/>
            </w:pPr>
            <w:r>
              <w:rPr>
                <w:rFonts w:ascii="Arial" w:cs="Arial" w:eastAsia="Arial" w:hAnsi="Arial"/>
                <w:b/>
                <w:bCs/>
                <w:color w:val="7B1FA2"/>
                <w:sz w:val="16"/>
                <w:szCs w:val="16"/>
              </w:rPr>
              <w:t xml:space="preserve">Bs 2.500-3.000 c/u</w:t>
            </w:r>
          </w:p>
        </w:tc>
      </w:tr>
      <w:tr>
        <w:tc>
          <w:tcPr>
            <w:tcW w:type="dxa" w:w="1800"/>
            <w:tcBorders>
              <w:top w:val="single" w:color="AAAAAA" w:sz="1"/>
              <w:left w:val="single" w:color="AAAAAA" w:sz="1"/>
              <w:bottom w:val="single" w:color="AAAAAA" w:sz="1"/>
              <w:right w:val="single" w:color="AAAAAA" w:sz="1"/>
            </w:tcBorders>
            <w:shd w:fill="F3E5F5" w:val="clear"/>
            <w:tcMar>
              <w:top w:type="dxa" w:w="50"/>
              <w:left w:type="dxa" w:w="80"/>
              <w:bottom w:type="dxa" w:w="50"/>
              <w:right w:type="dxa" w:w="80"/>
            </w:tcMar>
            <w:vAlign w:val="center"/>
          </w:tcPr>
          <w:p>
            <w:pPr>
              <w:spacing w:after="120" w:line="276"/>
            </w:pPr>
            <w:r>
              <w:rPr>
                <w:rFonts w:ascii="Arial" w:cs="Arial" w:eastAsia="Arial" w:hAnsi="Arial"/>
                <w:b/>
                <w:bCs/>
                <w:color w:val="333333"/>
                <w:sz w:val="16"/>
                <w:szCs w:val="16"/>
              </w:rPr>
              <w:t xml:space="preserve">Técnico BSF</w:t>
            </w:r>
          </w:p>
        </w:tc>
        <w:tc>
          <w:tcPr>
            <w:tcW w:type="dxa" w:w="600"/>
            <w:tcBorders>
              <w:top w:val="single" w:color="AAAAAA" w:sz="1"/>
              <w:left w:val="single" w:color="AAAAAA" w:sz="1"/>
              <w:bottom w:val="single" w:color="AAAAAA" w:sz="1"/>
              <w:right w:val="single" w:color="AAAAAA" w:sz="1"/>
            </w:tcBorders>
            <w:shd w:fill="F3E5F5" w:val="clear"/>
            <w:tcMar>
              <w:top w:type="dxa" w:w="50"/>
              <w:left w:type="dxa" w:w="80"/>
              <w:bottom w:type="dxa" w:w="50"/>
              <w:right w:type="dxa" w:w="80"/>
            </w:tcMar>
            <w:vAlign w:val="center"/>
          </w:tcPr>
          <w:p>
            <w:pPr>
              <w:spacing w:after="120" w:line="276"/>
            </w:pPr>
            <w:r>
              <w:rPr>
                <w:rFonts w:ascii="Arial" w:cs="Arial" w:eastAsia="Arial" w:hAnsi="Arial"/>
                <w:color w:val="333333"/>
                <w:sz w:val="16"/>
                <w:szCs w:val="16"/>
              </w:rPr>
              <w:t xml:space="preserve">1</w:t>
            </w:r>
          </w:p>
        </w:tc>
        <w:tc>
          <w:tcPr>
            <w:tcW w:type="dxa" w:w="2000"/>
            <w:tcBorders>
              <w:top w:val="single" w:color="AAAAAA" w:sz="1"/>
              <w:left w:val="single" w:color="AAAAAA" w:sz="1"/>
              <w:bottom w:val="single" w:color="AAAAAA" w:sz="1"/>
              <w:right w:val="single" w:color="AAAAAA" w:sz="1"/>
            </w:tcBorders>
            <w:shd w:fill="F3E5F5" w:val="clear"/>
            <w:tcMar>
              <w:top w:type="dxa" w:w="50"/>
              <w:left w:type="dxa" w:w="80"/>
              <w:bottom w:type="dxa" w:w="50"/>
              <w:right w:type="dxa" w:w="80"/>
            </w:tcMar>
            <w:vAlign w:val="center"/>
          </w:tcPr>
          <w:p>
            <w:pPr>
              <w:spacing w:after="120" w:line="276"/>
            </w:pPr>
            <w:r>
              <w:rPr>
                <w:rFonts w:ascii="Arial" w:cs="Arial" w:eastAsia="Arial" w:hAnsi="Arial"/>
                <w:color w:val="333333"/>
                <w:sz w:val="16"/>
                <w:szCs w:val="16"/>
              </w:rPr>
              <w:t xml:space="preserve">Capacitación especializada</w:t>
            </w:r>
          </w:p>
        </w:tc>
        <w:tc>
          <w:tcPr>
            <w:tcW w:type="dxa" w:w="2600"/>
            <w:tcBorders>
              <w:top w:val="single" w:color="AAAAAA" w:sz="1"/>
              <w:left w:val="single" w:color="AAAAAA" w:sz="1"/>
              <w:bottom w:val="single" w:color="AAAAAA" w:sz="1"/>
              <w:right w:val="single" w:color="AAAAAA" w:sz="1"/>
            </w:tcBorders>
            <w:shd w:fill="F3E5F5" w:val="clear"/>
            <w:tcMar>
              <w:top w:type="dxa" w:w="50"/>
              <w:left w:type="dxa" w:w="80"/>
              <w:bottom w:type="dxa" w:w="50"/>
              <w:right w:type="dxa" w:w="80"/>
            </w:tcMar>
            <w:vAlign w:val="center"/>
          </w:tcPr>
          <w:p>
            <w:pPr>
              <w:spacing w:after="120" w:line="276"/>
            </w:pPr>
            <w:r>
              <w:rPr>
                <w:rFonts w:ascii="Arial" w:cs="Arial" w:eastAsia="Arial" w:hAnsi="Arial"/>
                <w:color w:val="333333"/>
                <w:sz w:val="16"/>
                <w:szCs w:val="16"/>
              </w:rPr>
              <w:t xml:space="preserve">Manejo granja BSF, cosecha larvas</w:t>
            </w:r>
          </w:p>
        </w:tc>
        <w:tc>
          <w:tcPr>
            <w:tcW w:type="dxa" w:w="2360"/>
            <w:tcBorders>
              <w:top w:val="single" w:color="AAAAAA" w:sz="1"/>
              <w:left w:val="single" w:color="AAAAAA" w:sz="1"/>
              <w:bottom w:val="single" w:color="AAAAAA" w:sz="1"/>
              <w:right w:val="single" w:color="AAAAAA" w:sz="1"/>
            </w:tcBorders>
            <w:shd w:fill="F3E5F5" w:val="clear"/>
            <w:tcMar>
              <w:top w:type="dxa" w:w="50"/>
              <w:left w:type="dxa" w:w="80"/>
              <w:bottom w:type="dxa" w:w="50"/>
              <w:right w:type="dxa" w:w="80"/>
            </w:tcMar>
            <w:vAlign w:val="center"/>
          </w:tcPr>
          <w:p>
            <w:pPr>
              <w:spacing w:after="120" w:line="276"/>
            </w:pPr>
            <w:r>
              <w:rPr>
                <w:rFonts w:ascii="Arial" w:cs="Arial" w:eastAsia="Arial" w:hAnsi="Arial"/>
                <w:b/>
                <w:bCs/>
                <w:color w:val="7B1FA2"/>
                <w:sz w:val="16"/>
                <w:szCs w:val="16"/>
              </w:rPr>
              <w:t xml:space="preserve">Bs 3.000-4.000</w:t>
            </w:r>
          </w:p>
        </w:tc>
      </w:tr>
      <w:tr>
        <w:tc>
          <w:tcPr>
            <w:tcW w:type="dxa" w:w="18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20" w:line="276"/>
            </w:pPr>
            <w:r>
              <w:rPr>
                <w:rFonts w:ascii="Arial" w:cs="Arial" w:eastAsia="Arial" w:hAnsi="Arial"/>
                <w:b/>
                <w:bCs/>
                <w:color w:val="333333"/>
                <w:sz w:val="16"/>
                <w:szCs w:val="16"/>
              </w:rPr>
              <w:t xml:space="preserve">Chofer/recolector</w:t>
            </w:r>
          </w:p>
        </w:tc>
        <w:tc>
          <w:tcPr>
            <w:tcW w:type="dxa" w:w="6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20" w:line="276"/>
            </w:pPr>
            <w:r>
              <w:rPr>
                <w:rFonts w:ascii="Arial" w:cs="Arial" w:eastAsia="Arial" w:hAnsi="Arial"/>
                <w:color w:val="333333"/>
                <w:sz w:val="16"/>
                <w:szCs w:val="16"/>
              </w:rPr>
              <w:t xml:space="preserve">1</w:t>
            </w:r>
          </w:p>
        </w:tc>
        <w:tc>
          <w:tcPr>
            <w:tcW w:type="dxa" w:w="20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20" w:line="276"/>
            </w:pPr>
            <w:r>
              <w:rPr>
                <w:rFonts w:ascii="Arial" w:cs="Arial" w:eastAsia="Arial" w:hAnsi="Arial"/>
                <w:color w:val="333333"/>
                <w:sz w:val="16"/>
                <w:szCs w:val="16"/>
              </w:rPr>
              <w:t xml:space="preserve">Licencia profesional</w:t>
            </w:r>
          </w:p>
        </w:tc>
        <w:tc>
          <w:tcPr>
            <w:tcW w:type="dxa" w:w="26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20" w:line="276"/>
            </w:pPr>
            <w:r>
              <w:rPr>
                <w:rFonts w:ascii="Arial" w:cs="Arial" w:eastAsia="Arial" w:hAnsi="Arial"/>
                <w:color w:val="333333"/>
                <w:sz w:val="16"/>
                <w:szCs w:val="16"/>
              </w:rPr>
              <w:t xml:space="preserve">Recolección residuos, distribución</w:t>
            </w:r>
          </w:p>
        </w:tc>
        <w:tc>
          <w:tcPr>
            <w:tcW w:type="dxa" w:w="236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20" w:line="276"/>
            </w:pPr>
            <w:r>
              <w:rPr>
                <w:rFonts w:ascii="Arial" w:cs="Arial" w:eastAsia="Arial" w:hAnsi="Arial"/>
                <w:b/>
                <w:bCs/>
                <w:color w:val="7B1FA2"/>
                <w:sz w:val="16"/>
                <w:szCs w:val="16"/>
              </w:rPr>
              <w:t xml:space="preserve">Bs 2.800-3.500</w:t>
            </w:r>
          </w:p>
        </w:tc>
      </w:tr>
      <w:tr>
        <w:tc>
          <w:tcPr>
            <w:tcW w:type="dxa" w:w="1800"/>
            <w:tcBorders>
              <w:top w:val="single" w:color="AAAAAA" w:sz="1"/>
              <w:left w:val="single" w:color="AAAAAA" w:sz="1"/>
              <w:bottom w:val="single" w:color="AAAAAA" w:sz="1"/>
              <w:right w:val="single" w:color="AAAAAA" w:sz="1"/>
            </w:tcBorders>
            <w:shd w:fill="F3E5F5" w:val="clear"/>
            <w:tcMar>
              <w:top w:type="dxa" w:w="50"/>
              <w:left w:type="dxa" w:w="80"/>
              <w:bottom w:type="dxa" w:w="50"/>
              <w:right w:type="dxa" w:w="80"/>
            </w:tcMar>
            <w:vAlign w:val="center"/>
          </w:tcPr>
          <w:p>
            <w:pPr>
              <w:spacing w:after="120" w:line="276"/>
            </w:pPr>
            <w:r>
              <w:rPr>
                <w:rFonts w:ascii="Arial" w:cs="Arial" w:eastAsia="Arial" w:hAnsi="Arial"/>
                <w:b/>
                <w:bCs/>
                <w:color w:val="333333"/>
                <w:sz w:val="16"/>
                <w:szCs w:val="16"/>
              </w:rPr>
              <w:t xml:space="preserve">Vendedor/capacitador</w:t>
            </w:r>
          </w:p>
        </w:tc>
        <w:tc>
          <w:tcPr>
            <w:tcW w:type="dxa" w:w="600"/>
            <w:tcBorders>
              <w:top w:val="single" w:color="AAAAAA" w:sz="1"/>
              <w:left w:val="single" w:color="AAAAAA" w:sz="1"/>
              <w:bottom w:val="single" w:color="AAAAAA" w:sz="1"/>
              <w:right w:val="single" w:color="AAAAAA" w:sz="1"/>
            </w:tcBorders>
            <w:shd w:fill="F3E5F5" w:val="clear"/>
            <w:tcMar>
              <w:top w:type="dxa" w:w="50"/>
              <w:left w:type="dxa" w:w="80"/>
              <w:bottom w:type="dxa" w:w="50"/>
              <w:right w:type="dxa" w:w="80"/>
            </w:tcMar>
            <w:vAlign w:val="center"/>
          </w:tcPr>
          <w:p>
            <w:pPr>
              <w:spacing w:after="120" w:line="276"/>
            </w:pPr>
            <w:r>
              <w:rPr>
                <w:rFonts w:ascii="Arial" w:cs="Arial" w:eastAsia="Arial" w:hAnsi="Arial"/>
                <w:color w:val="333333"/>
                <w:sz w:val="16"/>
                <w:szCs w:val="16"/>
              </w:rPr>
              <w:t xml:space="preserve">1</w:t>
            </w:r>
          </w:p>
        </w:tc>
        <w:tc>
          <w:tcPr>
            <w:tcW w:type="dxa" w:w="2000"/>
            <w:tcBorders>
              <w:top w:val="single" w:color="AAAAAA" w:sz="1"/>
              <w:left w:val="single" w:color="AAAAAA" w:sz="1"/>
              <w:bottom w:val="single" w:color="AAAAAA" w:sz="1"/>
              <w:right w:val="single" w:color="AAAAAA" w:sz="1"/>
            </w:tcBorders>
            <w:shd w:fill="F3E5F5" w:val="clear"/>
            <w:tcMar>
              <w:top w:type="dxa" w:w="50"/>
              <w:left w:type="dxa" w:w="80"/>
              <w:bottom w:type="dxa" w:w="50"/>
              <w:right w:type="dxa" w:w="80"/>
            </w:tcMar>
            <w:vAlign w:val="center"/>
          </w:tcPr>
          <w:p>
            <w:pPr>
              <w:spacing w:after="120" w:line="276"/>
            </w:pPr>
            <w:r>
              <w:rPr>
                <w:rFonts w:ascii="Arial" w:cs="Arial" w:eastAsia="Arial" w:hAnsi="Arial"/>
                <w:color w:val="333333"/>
                <w:sz w:val="16"/>
                <w:szCs w:val="16"/>
              </w:rPr>
              <w:t xml:space="preserve">Conocimiento ganadero</w:t>
            </w:r>
          </w:p>
        </w:tc>
        <w:tc>
          <w:tcPr>
            <w:tcW w:type="dxa" w:w="2600"/>
            <w:tcBorders>
              <w:top w:val="single" w:color="AAAAAA" w:sz="1"/>
              <w:left w:val="single" w:color="AAAAAA" w:sz="1"/>
              <w:bottom w:val="single" w:color="AAAAAA" w:sz="1"/>
              <w:right w:val="single" w:color="AAAAAA" w:sz="1"/>
            </w:tcBorders>
            <w:shd w:fill="F3E5F5" w:val="clear"/>
            <w:tcMar>
              <w:top w:type="dxa" w:w="50"/>
              <w:left w:type="dxa" w:w="80"/>
              <w:bottom w:type="dxa" w:w="50"/>
              <w:right w:type="dxa" w:w="80"/>
            </w:tcMar>
            <w:vAlign w:val="center"/>
          </w:tcPr>
          <w:p>
            <w:pPr>
              <w:spacing w:after="120" w:line="276"/>
            </w:pPr>
            <w:r>
              <w:rPr>
                <w:rFonts w:ascii="Arial" w:cs="Arial" w:eastAsia="Arial" w:hAnsi="Arial"/>
                <w:color w:val="333333"/>
                <w:sz w:val="16"/>
                <w:szCs w:val="16"/>
              </w:rPr>
              <w:t xml:space="preserve">Ventas FEGASACRUZ, socioformación</w:t>
            </w:r>
          </w:p>
        </w:tc>
        <w:tc>
          <w:tcPr>
            <w:tcW w:type="dxa" w:w="2360"/>
            <w:tcBorders>
              <w:top w:val="single" w:color="AAAAAA" w:sz="1"/>
              <w:left w:val="single" w:color="AAAAAA" w:sz="1"/>
              <w:bottom w:val="single" w:color="AAAAAA" w:sz="1"/>
              <w:right w:val="single" w:color="AAAAAA" w:sz="1"/>
            </w:tcBorders>
            <w:shd w:fill="F3E5F5" w:val="clear"/>
            <w:tcMar>
              <w:top w:type="dxa" w:w="50"/>
              <w:left w:type="dxa" w:w="80"/>
              <w:bottom w:type="dxa" w:w="50"/>
              <w:right w:type="dxa" w:w="80"/>
            </w:tcMar>
            <w:vAlign w:val="center"/>
          </w:tcPr>
          <w:p>
            <w:pPr>
              <w:spacing w:after="120" w:line="276"/>
            </w:pPr>
            <w:r>
              <w:rPr>
                <w:rFonts w:ascii="Arial" w:cs="Arial" w:eastAsia="Arial" w:hAnsi="Arial"/>
                <w:b/>
                <w:bCs/>
                <w:color w:val="7B1FA2"/>
                <w:sz w:val="16"/>
                <w:szCs w:val="16"/>
              </w:rPr>
              <w:t xml:space="preserve">Bs 3.000-4.000</w:t>
            </w:r>
          </w:p>
        </w:tc>
      </w:tr>
      <w:tr>
        <w:tc>
          <w:tcPr>
            <w:tcW w:type="dxa" w:w="18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20" w:line="276"/>
            </w:pPr>
            <w:r>
              <w:rPr>
                <w:rFonts w:ascii="Arial" w:cs="Arial" w:eastAsia="Arial" w:hAnsi="Arial"/>
                <w:b/>
                <w:bCs/>
                <w:color w:val="333333"/>
                <w:sz w:val="16"/>
                <w:szCs w:val="16"/>
              </w:rPr>
              <w:t xml:space="preserve">Administrador</w:t>
            </w:r>
          </w:p>
        </w:tc>
        <w:tc>
          <w:tcPr>
            <w:tcW w:type="dxa" w:w="6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20" w:line="276"/>
            </w:pPr>
            <w:r>
              <w:rPr>
                <w:rFonts w:ascii="Arial" w:cs="Arial" w:eastAsia="Arial" w:hAnsi="Arial"/>
                <w:color w:val="333333"/>
                <w:sz w:val="16"/>
                <w:szCs w:val="16"/>
              </w:rPr>
              <w:t xml:space="preserve">1</w:t>
            </w:r>
          </w:p>
        </w:tc>
        <w:tc>
          <w:tcPr>
            <w:tcW w:type="dxa" w:w="20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20" w:line="276"/>
            </w:pPr>
            <w:r>
              <w:rPr>
                <w:rFonts w:ascii="Arial" w:cs="Arial" w:eastAsia="Arial" w:hAnsi="Arial"/>
                <w:color w:val="333333"/>
                <w:sz w:val="16"/>
                <w:szCs w:val="16"/>
              </w:rPr>
              <w:t xml:space="preserve">Ing. Sistemas (Douglas)</w:t>
            </w:r>
          </w:p>
        </w:tc>
        <w:tc>
          <w:tcPr>
            <w:tcW w:type="dxa" w:w="26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20" w:line="276"/>
            </w:pPr>
            <w:r>
              <w:rPr>
                <w:rFonts w:ascii="Arial" w:cs="Arial" w:eastAsia="Arial" w:hAnsi="Arial"/>
                <w:color w:val="333333"/>
                <w:sz w:val="16"/>
                <w:szCs w:val="16"/>
              </w:rPr>
              <w:t xml:space="preserve">ERP, finanzas, plataforma digital</w:t>
            </w:r>
          </w:p>
        </w:tc>
        <w:tc>
          <w:tcPr>
            <w:tcW w:type="dxa" w:w="236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20" w:line="276"/>
            </w:pPr>
            <w:r>
              <w:rPr>
                <w:rFonts w:ascii="Arial" w:cs="Arial" w:eastAsia="Arial" w:hAnsi="Arial"/>
                <w:b/>
                <w:bCs/>
                <w:color w:val="7B1FA2"/>
                <w:sz w:val="16"/>
                <w:szCs w:val="16"/>
              </w:rPr>
              <w:t xml:space="preserve">Bs 4.000-5.000</w:t>
            </w:r>
          </w:p>
        </w:tc>
      </w:tr>
    </w:tbl>
    <w:p>
      <w:r>
        <w:br w:type="page"/>
      </w:r>
    </w:p>
    <w:p>
      <w:pPr>
        <w:pStyle w:val="Heading2"/>
        <w:spacing w:before="200" w:after="160"/>
      </w:pPr>
      <w:r>
        <w:rPr>
          <w:rFonts w:ascii="Arial" w:cs="Arial" w:eastAsia="Arial" w:hAnsi="Arial"/>
          <w:b/>
          <w:bCs/>
          <w:color w:val="1565C0"/>
          <w:sz w:val="26"/>
          <w:szCs w:val="26"/>
        </w:rPr>
        <w:t xml:space="preserve">CAPÍTULO 3: PLAN DE MARKETING</w:t>
      </w:r>
    </w:p>
    <w:p>
      <w:pPr>
        <w:spacing w:after="100"/>
      </w:pPr>
      <w:r>
        <w:rPr>
          <w:rFonts w:ascii="Arial" w:cs="Arial" w:eastAsia="Arial" w:hAnsi="Arial"/>
          <w:color w:val="666666"/>
          <w:sz w:val="20"/>
          <w:szCs w:val="20"/>
        </w:rPr>
        <w:t xml:space="preserve">MODELO CANVAS: Relación con el Cliente y Propuesta de Valor</w:t>
      </w:r>
    </w:p>
    <w:p>
      <w:pPr>
        <w:pStyle w:val="Heading3"/>
        <w:spacing w:before="160" w:after="120"/>
      </w:pPr>
      <w:r>
        <w:rPr>
          <w:rFonts w:ascii="Arial" w:cs="Arial" w:eastAsia="Arial" w:hAnsi="Arial"/>
          <w:b/>
          <w:bCs/>
          <w:color w:val="E65100"/>
          <w:sz w:val="24"/>
          <w:szCs w:val="24"/>
        </w:rPr>
        <w:t xml:space="preserve">3.1 Segmentación del mercado meta</w:t>
      </w:r>
    </w:p>
    <w:p>
      <w:pPr>
        <w:spacing w:after="140" w:line="300"/>
      </w:pPr>
      <w:r>
        <w:rPr>
          <w:rFonts w:ascii="Arial" w:cs="Arial" w:eastAsia="Arial" w:hAnsi="Arial"/>
          <w:color w:val="333333"/>
          <w:sz w:val="24"/>
          <w:szCs w:val="24"/>
        </w:rPr>
        <w:t xml:space="preserve">Segmento primario: Ganaderos pequeños y medianos (50-500 cabezas) del norte integrado y Chiquitanía de Santa Cruz, agremiados en FEGASACRUZ (~15.000 productores). Son los más afectados por la sequía y carecen de acceso a suplementos industriales. Segmento secundario: Estancias grandes (500+ cabezas) del Chaco y zona central que compran en volumen para engorde intensivo y lechería. Segmento terciario: Fábricas de balanceado y avicultores que compran harina de sangre, hueso y BSF como insumo proteico.</w:t>
      </w:r>
    </w:p>
    <w:p>
      <w:pPr>
        <w:pStyle w:val="Heading3"/>
        <w:spacing w:before="160" w:after="120"/>
      </w:pPr>
      <w:r>
        <w:rPr>
          <w:rFonts w:ascii="Arial" w:cs="Arial" w:eastAsia="Arial" w:hAnsi="Arial"/>
          <w:b/>
          <w:bCs/>
          <w:color w:val="E65100"/>
          <w:sz w:val="24"/>
          <w:szCs w:val="24"/>
        </w:rPr>
        <w:t xml:space="preserve">3.2 Estrategia de Marketing Mix</w:t>
      </w:r>
    </w:p>
    <w:p>
      <w:pPr>
        <w:spacing w:after="140" w:line="300"/>
      </w:pPr>
      <w:r>
        <w:rPr>
          <w:rFonts w:ascii="Arial" w:cs="Arial" w:eastAsia="Arial" w:hAnsi="Arial"/>
          <w:b/>
          <w:bCs/>
          <w:color w:val="333333"/>
          <w:sz w:val="24"/>
          <w:szCs w:val="24"/>
        </w:rPr>
        <w:t xml:space="preserve">Producto: </w:t>
      </w:r>
      <w:r>
        <w:rPr>
          <w:rFonts w:ascii="Arial" w:cs="Arial" w:eastAsia="Arial" w:hAnsi="Arial"/>
          <w:color w:val="333333"/>
          <w:sz w:val="24"/>
          <w:szCs w:val="24"/>
        </w:rPr>
        <w:t xml:space="preserve">Bloque multinutricional NutriCiclo de 5 kg (pequeño ganadero) y 25 kg (estancia). Composición certificada: proteína, energía, Ca, P, minerales, ácido láurico. Empaque termoencogible con etiqueta QR de trazabilidad. Vida útil: 6-12 meses. Diferenciador: único BMN con BSF en Bolivia.</w:t>
      </w:r>
    </w:p>
    <w:p>
      <w:pPr>
        <w:spacing w:after="140" w:line="300"/>
      </w:pPr>
      <w:r>
        <w:rPr>
          <w:rFonts w:ascii="Arial" w:cs="Arial" w:eastAsia="Arial" w:hAnsi="Arial"/>
          <w:b/>
          <w:bCs/>
          <w:color w:val="333333"/>
          <w:sz w:val="24"/>
          <w:szCs w:val="24"/>
        </w:rPr>
        <w:t xml:space="preserve">Plaza: </w:t>
      </w:r>
      <w:r>
        <w:rPr>
          <w:rFonts w:ascii="Arial" w:cs="Arial" w:eastAsia="Arial" w:hAnsi="Arial"/>
          <w:color w:val="333333"/>
          <w:sz w:val="24"/>
          <w:szCs w:val="24"/>
        </w:rPr>
        <w:t xml:space="preserve">Canal 1: Venta directa a asociaciones FEGASACRUZ (15.000 agremiados). Canal 2: Depósito en agropecuarias del norte integrado (Montero, Warnes, Portachuelo). Canal 3: Stand en ferias ganaderas (Expocruz, Agropecruz, ferias municipales). Canal 4: Pedidos por WhatsApp con bot automatizado. Canal 5: Entrega programada en estancias con vehículo propio.</w:t>
      </w:r>
    </w:p>
    <w:p>
      <w:pPr>
        <w:spacing w:after="140" w:line="300"/>
      </w:pPr>
      <w:r>
        <w:rPr>
          <w:rFonts w:ascii="Arial" w:cs="Arial" w:eastAsia="Arial" w:hAnsi="Arial"/>
          <w:b/>
          <w:bCs/>
          <w:color w:val="333333"/>
          <w:sz w:val="24"/>
          <w:szCs w:val="24"/>
        </w:rPr>
        <w:t xml:space="preserve">Promoción: </w:t>
      </w:r>
      <w:r>
        <w:rPr>
          <w:rFonts w:ascii="Arial" w:cs="Arial" w:eastAsia="Arial" w:hAnsi="Arial"/>
          <w:color w:val="333333"/>
          <w:sz w:val="24"/>
          <w:szCs w:val="24"/>
        </w:rPr>
        <w:t xml:space="preserve">Demostración en campo: instalar bloques NutriCiclo en 5-10 estancias piloto y medir resultados (peso, leche) durante 30 días. Publicar resultados en revista de FEGASACRUZ. Asistente de voz IA "Nutri" (Retell AI + Twilio) para contacto proactivo antes de temporada de sequía. Redes sociales: Facebook e Instagram con contenido educativo sobre nutrición ganadera circular. Programa de referidos: ganadero que refiere recibe descuento de 10% en próxima compra.</w:t>
      </w:r>
    </w:p>
    <w:p>
      <w:pPr>
        <w:spacing w:after="140" w:line="300"/>
      </w:pPr>
      <w:r>
        <w:rPr>
          <w:rFonts w:ascii="Arial" w:cs="Arial" w:eastAsia="Arial" w:hAnsi="Arial"/>
          <w:b/>
          <w:bCs/>
          <w:color w:val="333333"/>
          <w:sz w:val="24"/>
          <w:szCs w:val="24"/>
        </w:rPr>
        <w:t xml:space="preserve">Precio: </w:t>
      </w:r>
      <w:r>
        <w:rPr>
          <w:rFonts w:ascii="Arial" w:cs="Arial" w:eastAsia="Arial" w:hAnsi="Arial"/>
          <w:color w:val="333333"/>
          <w:sz w:val="24"/>
          <w:szCs w:val="24"/>
        </w:rPr>
        <w:t xml:space="preserve">Bloque 25 kg: Bs 100-150 (Bs 4-6/kg). Bloque 5 kg: Bs 25-35 (Bs 5-7/kg). Precio por debajo del balanceado comercial (Bs 5-8/kg) pero con mayor valor nutricional por el componente BSF. Descuento por volumen: 5% a partir de 20 bloques, 10% a partir de 50. Descuento por retorno de saco: Bs 5/saco devuelto.</w:t>
      </w:r>
    </w:p>
    <w:p>
      <w:pPr>
        <w:pStyle w:val="Heading3"/>
        <w:spacing w:before="160" w:after="120"/>
      </w:pPr>
      <w:r>
        <w:rPr>
          <w:rFonts w:ascii="Arial" w:cs="Arial" w:eastAsia="Arial" w:hAnsi="Arial"/>
          <w:b/>
          <w:bCs/>
          <w:color w:val="E65100"/>
          <w:sz w:val="24"/>
          <w:szCs w:val="24"/>
        </w:rPr>
        <w:t xml:space="preserve">3.3 Proceso de compra y venta</w:t>
      </w:r>
    </w:p>
    <w:p>
      <w:pPr>
        <w:spacing w:after="140" w:line="300"/>
      </w:pPr>
      <w:r>
        <w:rPr>
          <w:rFonts w:ascii="Arial" w:cs="Arial" w:eastAsia="Arial" w:hAnsi="Arial"/>
          <w:color w:val="333333"/>
          <w:sz w:val="24"/>
          <w:szCs w:val="24"/>
        </w:rPr>
        <w:t xml:space="preserve">El ganadero conoce NutriCiclo en una feria o por recomendación → contacta por WhatsApp o recibe llamada de IA "Nutri" → realiza pedido (mínimo 5 bloques para entrega) → NutriCiclo entrega en estancia o el ganadero retira en agropecuaria → pago al contado o contra entrega → seguimiento post-venta a los 30 días para medir resultados → recompra programada antes de sequía.</w:t>
      </w:r>
    </w:p>
    <w:p>
      <w:pPr>
        <w:pStyle w:val="Heading3"/>
        <w:spacing w:before="160" w:after="120"/>
      </w:pPr>
      <w:r>
        <w:rPr>
          <w:rFonts w:ascii="Arial" w:cs="Arial" w:eastAsia="Arial" w:hAnsi="Arial"/>
          <w:b/>
          <w:bCs/>
          <w:color w:val="E65100"/>
          <w:sz w:val="24"/>
          <w:szCs w:val="24"/>
        </w:rPr>
        <w:t xml:space="preserve">3.4 Imagen corporativa</w:t>
      </w:r>
    </w:p>
    <w:p>
      <w:pPr>
        <w:spacing w:after="140" w:line="300"/>
      </w:pPr>
      <w:r>
        <w:rPr>
          <w:rFonts w:ascii="Arial" w:cs="Arial" w:eastAsia="Arial" w:hAnsi="Arial"/>
          <w:color w:val="333333"/>
          <w:sz w:val="24"/>
          <w:szCs w:val="24"/>
        </w:rPr>
        <w:t xml:space="preserve">Nombre: NutriCiclo SCZ. Tagline: "Nutrición Circular para tu Ganado". Colores: verde (naturaleza/circularidad) + naranja (energía/transformación) + marrón (tierra/ganado). Logo: vaca estilizada dentro de flechas circulares con bloque NutriCiclo. Elementos ODS 9, 12, 17 en materiales institucionales. Tipografía limpia y moderna (Arial/Calibri). Aplicaciones: etiqueta del bloque, tarjetas de presentación, banner para ferias, uniforme con logo bordado, perfil de redes sociales.</w:t>
      </w:r>
    </w:p>
    <w:p>
      <w:r>
        <w:br w:type="page"/>
      </w:r>
    </w:p>
    <w:p>
      <w:pPr>
        <w:pStyle w:val="Heading2"/>
        <w:spacing w:before="200" w:after="160"/>
      </w:pPr>
      <w:r>
        <w:rPr>
          <w:rFonts w:ascii="Arial" w:cs="Arial" w:eastAsia="Arial" w:hAnsi="Arial"/>
          <w:b/>
          <w:bCs/>
          <w:color w:val="1565C0"/>
          <w:sz w:val="26"/>
          <w:szCs w:val="26"/>
        </w:rPr>
        <w:t xml:space="preserve">CAPÍTULO 4: PLAN DE ORGANIZACIÓN</w:t>
      </w:r>
    </w:p>
    <w:p>
      <w:pPr>
        <w:spacing w:after="100"/>
      </w:pPr>
      <w:r>
        <w:rPr>
          <w:rFonts w:ascii="Arial" w:cs="Arial" w:eastAsia="Arial" w:hAnsi="Arial"/>
          <w:color w:val="666666"/>
          <w:sz w:val="20"/>
          <w:szCs w:val="20"/>
        </w:rPr>
        <w:t xml:space="preserve">MODELO CANVAS: Recursos Clave y Actividades Clave</w:t>
      </w:r>
    </w:p>
    <w:p>
      <w:pPr>
        <w:pStyle w:val="Heading3"/>
        <w:spacing w:before="160" w:after="120"/>
      </w:pPr>
      <w:r>
        <w:rPr>
          <w:rFonts w:ascii="Arial" w:cs="Arial" w:eastAsia="Arial" w:hAnsi="Arial"/>
          <w:b/>
          <w:bCs/>
          <w:color w:val="E65100"/>
          <w:sz w:val="24"/>
          <w:szCs w:val="24"/>
        </w:rPr>
        <w:t xml:space="preserve">4.1 Misión y Visión</w:t>
      </w:r>
    </w:p>
    <w:p>
      <w:pPr>
        <w:spacing w:after="140" w:line="300"/>
      </w:pPr>
      <w:r>
        <w:rPr>
          <w:rFonts w:ascii="Arial" w:cs="Arial" w:eastAsia="Arial" w:hAnsi="Arial"/>
          <w:b/>
          <w:bCs/>
          <w:color w:val="333333"/>
          <w:sz w:val="24"/>
          <w:szCs w:val="24"/>
        </w:rPr>
        <w:t xml:space="preserve">Misión: </w:t>
      </w:r>
      <w:r>
        <w:rPr>
          <w:rFonts w:ascii="Arial" w:cs="Arial" w:eastAsia="Arial" w:hAnsi="Arial"/>
          <w:color w:val="333333"/>
          <w:sz w:val="24"/>
          <w:szCs w:val="24"/>
        </w:rPr>
        <w:t xml:space="preserve">Transformar los residuos contaminantes del sector pecuario de Santa Cruz en soluciones nutricionales circulares de alto valor para el ganado boliviano, generando empleo digno, capacitando a la comunidad ganadera y regenerando los ecosistemas a través de la innovación biotecnológica.</w:t>
      </w:r>
    </w:p>
    <w:p>
      <w:pPr>
        <w:spacing w:after="140" w:line="300"/>
      </w:pPr>
      <w:r>
        <w:rPr>
          <w:rFonts w:ascii="Arial" w:cs="Arial" w:eastAsia="Arial" w:hAnsi="Arial"/>
          <w:b/>
          <w:bCs/>
          <w:color w:val="333333"/>
          <w:sz w:val="24"/>
          <w:szCs w:val="24"/>
        </w:rPr>
        <w:t xml:space="preserve">Visión: </w:t>
      </w:r>
      <w:r>
        <w:rPr>
          <w:rFonts w:ascii="Arial" w:cs="Arial" w:eastAsia="Arial" w:hAnsi="Arial"/>
          <w:color w:val="333333"/>
          <w:sz w:val="24"/>
          <w:szCs w:val="24"/>
        </w:rPr>
        <w:t xml:space="preserve">Ser la empresa líder en nutrición circular ganadera de Sudamérica para 2030, con presencia en los principales departamentos ganaderos de Bolivia y franquicia social replicable en países de la región, reconocida por su modelo de economía circular y su impacto positivo en la seguridad alimentaria.</w:t>
      </w:r>
    </w:p>
    <w:p>
      <w:pPr>
        <w:pStyle w:val="Heading3"/>
        <w:spacing w:before="160" w:after="120"/>
      </w:pPr>
      <w:r>
        <w:rPr>
          <w:rFonts w:ascii="Arial" w:cs="Arial" w:eastAsia="Arial" w:hAnsi="Arial"/>
          <w:b/>
          <w:bCs/>
          <w:color w:val="E65100"/>
          <w:sz w:val="24"/>
          <w:szCs w:val="24"/>
        </w:rPr>
        <w:t xml:space="preserve">4.2 Políticas de la empresa</w:t>
      </w:r>
    </w:p>
    <w:p>
      <w:pPr>
        <w:spacing w:after="140" w:line="300"/>
      </w:pPr>
      <w:r>
        <w:rPr>
          <w:rFonts w:ascii="Arial" w:cs="Arial" w:eastAsia="Arial" w:hAnsi="Arial"/>
          <w:color w:val="333333"/>
          <w:sz w:val="24"/>
          <w:szCs w:val="24"/>
        </w:rPr>
        <w:t xml:space="preserve">Política de calidad: Todo lote de bloques pasa prueba de dureza con penetrómetro antes de liberarse. Política ambiental: Cero desperdicio — todo residuo del proceso se reincorpora al ciclo o se vende como subproducto. Política de seguridad: EPP obligatorio (guantes PVC, mascarilla P2, gafas) para manejo de cal viva y procesamiento de sangre. Política social: Programa de socioformación gratuito para ganaderos (3 niveles). Política de transparencia: Trazabilidad completa con código QR en cada bloque.</w:t>
      </w:r>
    </w:p>
    <w:p>
      <w:pPr>
        <w:pStyle w:val="Heading3"/>
        <w:spacing w:before="160" w:after="120"/>
      </w:pPr>
      <w:r>
        <w:rPr>
          <w:rFonts w:ascii="Arial" w:cs="Arial" w:eastAsia="Arial" w:hAnsi="Arial"/>
          <w:b/>
          <w:bCs/>
          <w:color w:val="E65100"/>
          <w:sz w:val="24"/>
          <w:szCs w:val="24"/>
        </w:rPr>
        <w:t xml:space="preserve">4.3 Organigrama</w:t>
      </w:r>
    </w:p>
    <w:p>
      <w:pPr>
        <w:spacing w:after="140" w:line="300"/>
      </w:pPr>
      <w:r>
        <w:rPr>
          <w:rFonts w:ascii="Arial" w:cs="Arial" w:eastAsia="Arial" w:hAnsi="Arial"/>
          <w:color w:val="333333"/>
          <w:sz w:val="24"/>
          <w:szCs w:val="24"/>
        </w:rPr>
        <w:t xml:space="preserve">Gerencia General (Douglas Flor — Ing. Sistemas / Administrador) → Jefe de Planta (producción, calidad, BSF) → Operarios (3-4 personas: mezclado, moldeado, empaque) + Técnico BSF (1 persona: granja de larvas) → Chofer/Recolector (1 persona: logística de residuos y distribución) → Vendedor/Capacitador (1 persona: FEGASACRUZ, ferias, socioformación). Total: 8-10 personas en año 1, escalable a 15 en año 3.</w:t>
      </w:r>
    </w:p>
    <w:p>
      <w:pPr>
        <w:pStyle w:val="Heading3"/>
        <w:spacing w:before="160" w:after="120"/>
      </w:pPr>
      <w:r>
        <w:rPr>
          <w:rFonts w:ascii="Arial" w:cs="Arial" w:eastAsia="Arial" w:hAnsi="Arial"/>
          <w:b/>
          <w:bCs/>
          <w:color w:val="E65100"/>
          <w:sz w:val="24"/>
          <w:szCs w:val="24"/>
        </w:rPr>
        <w:t xml:space="preserve">4.4 Manual de funciones (resumen)</w:t>
      </w:r>
    </w:p>
    <w:p>
      <w:pPr>
        <w:spacing w:after="140" w:line="300"/>
      </w:pPr>
      <w:r>
        <w:rPr>
          <w:rFonts w:ascii="Arial" w:cs="Arial" w:eastAsia="Arial" w:hAnsi="Arial"/>
          <w:color w:val="333333"/>
          <w:sz w:val="24"/>
          <w:szCs w:val="24"/>
        </w:rPr>
        <w:t xml:space="preserve">Gerente General: planificación estratégica, relaciones con aliados (FEGASACRUZ, Guabirá, UPDS), desarrollo de plataforma digital, administración financiera. Jefe de Planta: supervisión diaria de producción, control de calidad, gestión de inventario de MP, mantenimiento de maquinaria. Operarios: ejecución del proceso productivo (10 pasos), limpieza de planta. Técnico BSF: manejo de la granja de larvas, monitoreo IoT, cosecha y procesamiento de harina BSF. Chofer: recolección de residuos 3x/semana, distribución de producto terminado. Vendedor: visitas a agropecuarias, atención en ferias, capacitación a ganaderos, gestión de bot WhatsApp.</w:t>
      </w:r>
    </w:p>
    <w:p>
      <w:pPr>
        <w:pStyle w:val="Heading3"/>
        <w:spacing w:before="160" w:after="120"/>
      </w:pPr>
      <w:r>
        <w:rPr>
          <w:rFonts w:ascii="Arial" w:cs="Arial" w:eastAsia="Arial" w:hAnsi="Arial"/>
          <w:b/>
          <w:bCs/>
          <w:color w:val="E65100"/>
          <w:sz w:val="24"/>
          <w:szCs w:val="24"/>
        </w:rPr>
        <w:t xml:space="preserve">4.5 Aspectos legales y regulatorios</w:t>
      </w:r>
    </w:p>
    <w:p>
      <w:pPr>
        <w:spacing w:after="140" w:line="300"/>
      </w:pPr>
      <w:r>
        <w:rPr>
          <w:rFonts w:ascii="Arial" w:cs="Arial" w:eastAsia="Arial" w:hAnsi="Arial"/>
          <w:color w:val="333333"/>
          <w:sz w:val="24"/>
          <w:szCs w:val="24"/>
        </w:rPr>
        <w:t xml:space="preserve">Constitución: Empresa Unipersonal o S.R.L. ante FUNDEMPRESA. Registro tributario: NIT ante el SIN. Licencia de funcionamiento: Gobierno Municipal de SCZ. Registro sanitario: SENASAG (alimentos para consumo animal). Registro ambiental: Licencia ambiental ante la Gobernación. Normas laborales: afiliación a CNS y AFP de todos los empleados. Permisos específicos: Autorización de SENASAG para manejo de subproductos de origen animal. Registro de marca: SENAPI (marca NutriCiclo).</w:t>
      </w:r>
    </w:p>
    <w:p>
      <w:pPr>
        <w:pStyle w:val="Heading3"/>
        <w:spacing w:before="160" w:after="120"/>
      </w:pPr>
      <w:r>
        <w:rPr>
          <w:rFonts w:ascii="Arial" w:cs="Arial" w:eastAsia="Arial" w:hAnsi="Arial"/>
          <w:b/>
          <w:bCs/>
          <w:color w:val="E65100"/>
          <w:sz w:val="24"/>
          <w:szCs w:val="24"/>
        </w:rPr>
        <w:t xml:space="preserve">4.6 Costos de organización</w:t>
      </w:r>
    </w:p>
    <w:p>
      <w:pPr>
        <w:spacing w:after="140" w:line="300"/>
      </w:pPr>
      <w:r>
        <w:rPr>
          <w:rFonts w:ascii="Arial" w:cs="Arial" w:eastAsia="Arial" w:hAnsi="Arial"/>
          <w:color w:val="333333"/>
          <w:sz w:val="24"/>
          <w:szCs w:val="24"/>
        </w:rPr>
        <w:t xml:space="preserve">Constitución de empresa (FUNDEMPRESA): Bs 500-800. NIT (SIN): gratuito. Licencia municipal: Bs 300-600. Registro SENASAG: Bs 1.000-2.000. Licencia ambiental: Bs 800-1.500. Registro de marca SENAPI: Bs 650. Trámites laborales (CNS, AFP): Bs 300-500. Total estimado de constitución: Bs 3.550-6.050 ($510-870 USD).</w:t>
      </w:r>
    </w:p>
    <w:p>
      <w:r>
        <w:br w:type="page"/>
      </w:r>
    </w:p>
    <w:p>
      <w:pPr>
        <w:pStyle w:val="Heading2"/>
        <w:spacing w:before="200" w:after="160"/>
      </w:pPr>
      <w:r>
        <w:rPr>
          <w:rFonts w:ascii="Arial" w:cs="Arial" w:eastAsia="Arial" w:hAnsi="Arial"/>
          <w:b/>
          <w:bCs/>
          <w:color w:val="1565C0"/>
          <w:sz w:val="26"/>
          <w:szCs w:val="26"/>
        </w:rPr>
        <w:t xml:space="preserve">CAPÍTULO 5: PLAN ECONÓMICO FINANCIERO</w:t>
      </w:r>
    </w:p>
    <w:p>
      <w:pPr>
        <w:spacing w:after="100"/>
      </w:pPr>
      <w:r>
        <w:rPr>
          <w:rFonts w:ascii="Arial" w:cs="Arial" w:eastAsia="Arial" w:hAnsi="Arial"/>
          <w:color w:val="666666"/>
          <w:sz w:val="20"/>
          <w:szCs w:val="20"/>
        </w:rPr>
        <w:t xml:space="preserve">MODELO CANVAS: Ingreso y Costos</w:t>
      </w:r>
    </w:p>
    <w:p>
      <w:pPr>
        <w:pStyle w:val="Heading3"/>
        <w:spacing w:before="160" w:after="120"/>
      </w:pPr>
      <w:r>
        <w:rPr>
          <w:rFonts w:ascii="Arial" w:cs="Arial" w:eastAsia="Arial" w:hAnsi="Arial"/>
          <w:b/>
          <w:bCs/>
          <w:color w:val="E65100"/>
          <w:sz w:val="24"/>
          <w:szCs w:val="24"/>
        </w:rPr>
        <w:t xml:space="preserve">5.1 Inversión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c>
          <w:tcPr>
            <w:tcW w:type="dxa" w:w="3000"/>
            <w:tcBorders>
              <w:top w:val="single" w:color="AAAAAA" w:sz="1"/>
              <w:left w:val="single" w:color="AAAAAA" w:sz="1"/>
              <w:bottom w:val="single" w:color="AAAAAA" w:sz="1"/>
              <w:right w:val="single" w:color="AAAAAA" w:sz="1"/>
            </w:tcBorders>
            <w:shd w:fill="C62828" w:val="clear"/>
            <w:tcMar>
              <w:top w:type="dxa" w:w="50"/>
              <w:left w:type="dxa" w:w="80"/>
              <w:bottom w:type="dxa" w:w="50"/>
              <w:right w:type="dxa" w:w="80"/>
            </w:tcMar>
            <w:vAlign w:val="center"/>
          </w:tcPr>
          <w:p>
            <w:pPr>
              <w:spacing w:after="120" w:line="276"/>
            </w:pPr>
            <w:r>
              <w:rPr>
                <w:rFonts w:ascii="Arial" w:cs="Arial" w:eastAsia="Arial" w:hAnsi="Arial"/>
                <w:b/>
                <w:bCs/>
                <w:color w:val="FFFFFF"/>
                <w:sz w:val="18"/>
                <w:szCs w:val="18"/>
              </w:rPr>
              <w:t xml:space="preserve">Rubro</w:t>
            </w:r>
          </w:p>
        </w:tc>
        <w:tc>
          <w:tcPr>
            <w:tcW w:type="dxa" w:w="2500"/>
            <w:tcBorders>
              <w:top w:val="single" w:color="AAAAAA" w:sz="1"/>
              <w:left w:val="single" w:color="AAAAAA" w:sz="1"/>
              <w:bottom w:val="single" w:color="AAAAAA" w:sz="1"/>
              <w:right w:val="single" w:color="AAAAAA" w:sz="1"/>
            </w:tcBorders>
            <w:shd w:fill="C62828" w:val="clear"/>
            <w:tcMar>
              <w:top w:type="dxa" w:w="50"/>
              <w:left w:type="dxa" w:w="80"/>
              <w:bottom w:type="dxa" w:w="50"/>
              <w:right w:type="dxa" w:w="80"/>
            </w:tcMar>
            <w:vAlign w:val="center"/>
          </w:tcPr>
          <w:p>
            <w:pPr>
              <w:spacing w:after="120" w:line="276"/>
            </w:pPr>
            <w:r>
              <w:rPr>
                <w:rFonts w:ascii="Arial" w:cs="Arial" w:eastAsia="Arial" w:hAnsi="Arial"/>
                <w:b/>
                <w:bCs/>
                <w:color w:val="FFFFFF"/>
                <w:sz w:val="18"/>
                <w:szCs w:val="18"/>
              </w:rPr>
              <w:t xml:space="preserve">Monto USD</w:t>
            </w:r>
          </w:p>
        </w:tc>
        <w:tc>
          <w:tcPr>
            <w:tcW w:type="dxa" w:w="3860"/>
            <w:tcBorders>
              <w:top w:val="single" w:color="AAAAAA" w:sz="1"/>
              <w:left w:val="single" w:color="AAAAAA" w:sz="1"/>
              <w:bottom w:val="single" w:color="AAAAAA" w:sz="1"/>
              <w:right w:val="single" w:color="AAAAAA" w:sz="1"/>
            </w:tcBorders>
            <w:shd w:fill="C62828" w:val="clear"/>
            <w:tcMar>
              <w:top w:type="dxa" w:w="50"/>
              <w:left w:type="dxa" w:w="80"/>
              <w:bottom w:type="dxa" w:w="50"/>
              <w:right w:type="dxa" w:w="80"/>
            </w:tcMar>
            <w:vAlign w:val="center"/>
          </w:tcPr>
          <w:p>
            <w:pPr>
              <w:spacing w:after="120" w:line="276"/>
            </w:pPr>
            <w:r>
              <w:rPr>
                <w:rFonts w:ascii="Arial" w:cs="Arial" w:eastAsia="Arial" w:hAnsi="Arial"/>
                <w:b/>
                <w:bCs/>
                <w:color w:val="FFFFFF"/>
                <w:sz w:val="18"/>
                <w:szCs w:val="18"/>
              </w:rPr>
              <w:t xml:space="preserve">Detalle</w:t>
            </w:r>
          </w:p>
        </w:tc>
      </w:tr>
      <w:tr>
        <w:tc>
          <w:tcPr>
            <w:tcW w:type="dxa" w:w="3000"/>
            <w:tcBorders>
              <w:top w:val="single" w:color="AAAAAA" w:sz="1"/>
              <w:left w:val="single" w:color="AAAAAA" w:sz="1"/>
              <w:bottom w:val="single" w:color="AAAAAA" w:sz="1"/>
              <w:right w:val="single" w:color="AAAAAA" w:sz="1"/>
            </w:tcBorders>
            <w:shd w:fill="FFEBEE" w:val="clear"/>
            <w:tcMar>
              <w:top w:type="dxa" w:w="50"/>
              <w:left w:type="dxa" w:w="80"/>
              <w:bottom w:type="dxa" w:w="50"/>
              <w:right w:type="dxa" w:w="80"/>
            </w:tcMar>
            <w:vAlign w:val="center"/>
          </w:tcPr>
          <w:p>
            <w:pPr>
              <w:spacing w:after="120" w:line="276"/>
            </w:pPr>
            <w:r>
              <w:rPr>
                <w:rFonts w:ascii="Arial" w:cs="Arial" w:eastAsia="Arial" w:hAnsi="Arial"/>
                <w:b w:val="false"/>
                <w:bCs w:val="false"/>
                <w:color w:val="333333"/>
                <w:sz w:val="18"/>
                <w:szCs w:val="18"/>
              </w:rPr>
              <w:t xml:space="preserve">Maquinaria y equipo</w:t>
            </w:r>
          </w:p>
        </w:tc>
        <w:tc>
          <w:tcPr>
            <w:tcW w:type="dxa" w:w="2500"/>
            <w:tcBorders>
              <w:top w:val="single" w:color="AAAAAA" w:sz="1"/>
              <w:left w:val="single" w:color="AAAAAA" w:sz="1"/>
              <w:bottom w:val="single" w:color="AAAAAA" w:sz="1"/>
              <w:right w:val="single" w:color="AAAAAA" w:sz="1"/>
            </w:tcBorders>
            <w:shd w:fill="FFEBEE" w:val="clear"/>
            <w:tcMar>
              <w:top w:type="dxa" w:w="50"/>
              <w:left w:type="dxa" w:w="80"/>
              <w:bottom w:type="dxa" w:w="50"/>
              <w:right w:type="dxa" w:w="80"/>
            </w:tcMar>
            <w:vAlign w:val="center"/>
          </w:tcPr>
          <w:p>
            <w:pPr>
              <w:spacing w:after="120" w:line="276"/>
            </w:pPr>
            <w:r>
              <w:rPr>
                <w:rFonts w:ascii="Arial" w:cs="Arial" w:eastAsia="Arial" w:hAnsi="Arial"/>
                <w:b/>
                <w:bCs/>
                <w:color w:val="C62828"/>
                <w:sz w:val="18"/>
                <w:szCs w:val="18"/>
              </w:rPr>
              <w:t xml:space="preserve">$13.500-25.000</w:t>
            </w:r>
          </w:p>
        </w:tc>
        <w:tc>
          <w:tcPr>
            <w:tcW w:type="dxa" w:w="3860"/>
            <w:tcBorders>
              <w:top w:val="single" w:color="AAAAAA" w:sz="1"/>
              <w:left w:val="single" w:color="AAAAAA" w:sz="1"/>
              <w:bottom w:val="single" w:color="AAAAAA" w:sz="1"/>
              <w:right w:val="single" w:color="AAAAAA" w:sz="1"/>
            </w:tcBorders>
            <w:shd w:fill="FFEBEE" w:val="clear"/>
            <w:tcMar>
              <w:top w:type="dxa" w:w="50"/>
              <w:left w:type="dxa" w:w="80"/>
              <w:bottom w:type="dxa" w:w="50"/>
              <w:right w:type="dxa" w:w="80"/>
            </w:tcMar>
            <w:vAlign w:val="center"/>
          </w:tcPr>
          <w:p>
            <w:pPr>
              <w:spacing w:after="120" w:line="276"/>
            </w:pPr>
            <w:r>
              <w:rPr>
                <w:rFonts w:ascii="Arial" w:cs="Arial" w:eastAsia="Arial" w:hAnsi="Arial"/>
                <w:color w:val="333333"/>
                <w:sz w:val="18"/>
                <w:szCs w:val="18"/>
              </w:rPr>
              <w:t xml:space="preserve">Molino, mezcladora, prensa, módulos BSF, etc.</w:t>
            </w:r>
          </w:p>
        </w:tc>
      </w:tr>
      <w:tr>
        <w:tc>
          <w:tcPr>
            <w:tcW w:type="dxa" w:w="30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20" w:line="276"/>
            </w:pPr>
            <w:r>
              <w:rPr>
                <w:rFonts w:ascii="Arial" w:cs="Arial" w:eastAsia="Arial" w:hAnsi="Arial"/>
                <w:b w:val="false"/>
                <w:bCs w:val="false"/>
                <w:color w:val="333333"/>
                <w:sz w:val="18"/>
                <w:szCs w:val="18"/>
              </w:rPr>
              <w:t xml:space="preserve">Capital de trabajo (3 meses)</w:t>
            </w:r>
          </w:p>
        </w:tc>
        <w:tc>
          <w:tcPr>
            <w:tcW w:type="dxa" w:w="25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20" w:line="276"/>
            </w:pPr>
            <w:r>
              <w:rPr>
                <w:rFonts w:ascii="Arial" w:cs="Arial" w:eastAsia="Arial" w:hAnsi="Arial"/>
                <w:b/>
                <w:bCs/>
                <w:color w:val="C62828"/>
                <w:sz w:val="18"/>
                <w:szCs w:val="18"/>
              </w:rPr>
              <w:t xml:space="preserve">$5.000-8.000</w:t>
            </w:r>
          </w:p>
        </w:tc>
        <w:tc>
          <w:tcPr>
            <w:tcW w:type="dxa" w:w="386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20" w:line="276"/>
            </w:pPr>
            <w:r>
              <w:rPr>
                <w:rFonts w:ascii="Arial" w:cs="Arial" w:eastAsia="Arial" w:hAnsi="Arial"/>
                <w:color w:val="333333"/>
                <w:sz w:val="18"/>
                <w:szCs w:val="18"/>
              </w:rPr>
              <w:t xml:space="preserve">Salarios, MP comercial, transporte, servicios</w:t>
            </w:r>
          </w:p>
        </w:tc>
      </w:tr>
      <w:tr>
        <w:tc>
          <w:tcPr>
            <w:tcW w:type="dxa" w:w="3000"/>
            <w:tcBorders>
              <w:top w:val="single" w:color="AAAAAA" w:sz="1"/>
              <w:left w:val="single" w:color="AAAAAA" w:sz="1"/>
              <w:bottom w:val="single" w:color="AAAAAA" w:sz="1"/>
              <w:right w:val="single" w:color="AAAAAA" w:sz="1"/>
            </w:tcBorders>
            <w:shd w:fill="FFEBEE" w:val="clear"/>
            <w:tcMar>
              <w:top w:type="dxa" w:w="50"/>
              <w:left w:type="dxa" w:w="80"/>
              <w:bottom w:type="dxa" w:w="50"/>
              <w:right w:type="dxa" w:w="80"/>
            </w:tcMar>
            <w:vAlign w:val="center"/>
          </w:tcPr>
          <w:p>
            <w:pPr>
              <w:spacing w:after="120" w:line="276"/>
            </w:pPr>
            <w:r>
              <w:rPr>
                <w:rFonts w:ascii="Arial" w:cs="Arial" w:eastAsia="Arial" w:hAnsi="Arial"/>
                <w:b w:val="false"/>
                <w:bCs w:val="false"/>
                <w:color w:val="333333"/>
                <w:sz w:val="18"/>
                <w:szCs w:val="18"/>
              </w:rPr>
              <w:t xml:space="preserve">Constitución legal</w:t>
            </w:r>
          </w:p>
        </w:tc>
        <w:tc>
          <w:tcPr>
            <w:tcW w:type="dxa" w:w="2500"/>
            <w:tcBorders>
              <w:top w:val="single" w:color="AAAAAA" w:sz="1"/>
              <w:left w:val="single" w:color="AAAAAA" w:sz="1"/>
              <w:bottom w:val="single" w:color="AAAAAA" w:sz="1"/>
              <w:right w:val="single" w:color="AAAAAA" w:sz="1"/>
            </w:tcBorders>
            <w:shd w:fill="FFEBEE" w:val="clear"/>
            <w:tcMar>
              <w:top w:type="dxa" w:w="50"/>
              <w:left w:type="dxa" w:w="80"/>
              <w:bottom w:type="dxa" w:w="50"/>
              <w:right w:type="dxa" w:w="80"/>
            </w:tcMar>
            <w:vAlign w:val="center"/>
          </w:tcPr>
          <w:p>
            <w:pPr>
              <w:spacing w:after="120" w:line="276"/>
            </w:pPr>
            <w:r>
              <w:rPr>
                <w:rFonts w:ascii="Arial" w:cs="Arial" w:eastAsia="Arial" w:hAnsi="Arial"/>
                <w:b/>
                <w:bCs/>
                <w:color w:val="C62828"/>
                <w:sz w:val="18"/>
                <w:szCs w:val="18"/>
              </w:rPr>
              <w:t xml:space="preserve">$510-870</w:t>
            </w:r>
          </w:p>
        </w:tc>
        <w:tc>
          <w:tcPr>
            <w:tcW w:type="dxa" w:w="3860"/>
            <w:tcBorders>
              <w:top w:val="single" w:color="AAAAAA" w:sz="1"/>
              <w:left w:val="single" w:color="AAAAAA" w:sz="1"/>
              <w:bottom w:val="single" w:color="AAAAAA" w:sz="1"/>
              <w:right w:val="single" w:color="AAAAAA" w:sz="1"/>
            </w:tcBorders>
            <w:shd w:fill="FFEBEE" w:val="clear"/>
            <w:tcMar>
              <w:top w:type="dxa" w:w="50"/>
              <w:left w:type="dxa" w:w="80"/>
              <w:bottom w:type="dxa" w:w="50"/>
              <w:right w:type="dxa" w:w="80"/>
            </w:tcMar>
            <w:vAlign w:val="center"/>
          </w:tcPr>
          <w:p>
            <w:pPr>
              <w:spacing w:after="120" w:line="276"/>
            </w:pPr>
            <w:r>
              <w:rPr>
                <w:rFonts w:ascii="Arial" w:cs="Arial" w:eastAsia="Arial" w:hAnsi="Arial"/>
                <w:color w:val="333333"/>
                <w:sz w:val="18"/>
                <w:szCs w:val="18"/>
              </w:rPr>
              <w:t xml:space="preserve">FUNDEMPRESA, SENASAG, SENAPI, municipal</w:t>
            </w:r>
          </w:p>
        </w:tc>
      </w:tr>
      <w:tr>
        <w:tc>
          <w:tcPr>
            <w:tcW w:type="dxa" w:w="30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20" w:line="276"/>
            </w:pPr>
            <w:r>
              <w:rPr>
                <w:rFonts w:ascii="Arial" w:cs="Arial" w:eastAsia="Arial" w:hAnsi="Arial"/>
                <w:b w:val="false"/>
                <w:bCs w:val="false"/>
                <w:color w:val="333333"/>
                <w:sz w:val="18"/>
                <w:szCs w:val="18"/>
              </w:rPr>
              <w:t xml:space="preserve">Adecuación de planta</w:t>
            </w:r>
          </w:p>
        </w:tc>
        <w:tc>
          <w:tcPr>
            <w:tcW w:type="dxa" w:w="25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20" w:line="276"/>
            </w:pPr>
            <w:r>
              <w:rPr>
                <w:rFonts w:ascii="Arial" w:cs="Arial" w:eastAsia="Arial" w:hAnsi="Arial"/>
                <w:b/>
                <w:bCs/>
                <w:color w:val="C62828"/>
                <w:sz w:val="18"/>
                <w:szCs w:val="18"/>
              </w:rPr>
              <w:t xml:space="preserve">$1.500-3.000</w:t>
            </w:r>
          </w:p>
        </w:tc>
        <w:tc>
          <w:tcPr>
            <w:tcW w:type="dxa" w:w="386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20" w:line="276"/>
            </w:pPr>
            <w:r>
              <w:rPr>
                <w:rFonts w:ascii="Arial" w:cs="Arial" w:eastAsia="Arial" w:hAnsi="Arial"/>
                <w:color w:val="333333"/>
                <w:sz w:val="18"/>
                <w:szCs w:val="18"/>
              </w:rPr>
              <w:t xml:space="preserve">Instalaciones eléctricas, pisos, techado</w:t>
            </w:r>
          </w:p>
        </w:tc>
      </w:tr>
      <w:tr>
        <w:tc>
          <w:tcPr>
            <w:tcW w:type="dxa" w:w="3000"/>
            <w:tcBorders>
              <w:top w:val="single" w:color="AAAAAA" w:sz="1"/>
              <w:left w:val="single" w:color="AAAAAA" w:sz="1"/>
              <w:bottom w:val="single" w:color="AAAAAA" w:sz="1"/>
              <w:right w:val="single" w:color="AAAAAA" w:sz="1"/>
            </w:tcBorders>
            <w:shd w:fill="1B5E20" w:val="clear"/>
            <w:tcMar>
              <w:top w:type="dxa" w:w="50"/>
              <w:left w:type="dxa" w:w="80"/>
              <w:bottom w:type="dxa" w:w="50"/>
              <w:right w:type="dxa" w:w="80"/>
            </w:tcMar>
            <w:vAlign w:val="center"/>
          </w:tcPr>
          <w:p>
            <w:pPr>
              <w:spacing w:after="120" w:line="276"/>
            </w:pPr>
            <w:r>
              <w:rPr>
                <w:rFonts w:ascii="Arial" w:cs="Arial" w:eastAsia="Arial" w:hAnsi="Arial"/>
                <w:b/>
                <w:bCs/>
                <w:color w:val="FFFFFF"/>
                <w:sz w:val="18"/>
                <w:szCs w:val="18"/>
              </w:rPr>
              <w:t xml:space="preserve">INVERSIÓN TOTAL</w:t>
            </w:r>
          </w:p>
        </w:tc>
        <w:tc>
          <w:tcPr>
            <w:tcW w:type="dxa" w:w="2500"/>
            <w:tcBorders>
              <w:top w:val="single" w:color="AAAAAA" w:sz="1"/>
              <w:left w:val="single" w:color="AAAAAA" w:sz="1"/>
              <w:bottom w:val="single" w:color="AAAAAA" w:sz="1"/>
              <w:right w:val="single" w:color="AAAAAA" w:sz="1"/>
            </w:tcBorders>
            <w:shd w:fill="1B5E20" w:val="clear"/>
            <w:tcMar>
              <w:top w:type="dxa" w:w="50"/>
              <w:left w:type="dxa" w:w="80"/>
              <w:bottom w:type="dxa" w:w="50"/>
              <w:right w:type="dxa" w:w="80"/>
            </w:tcMar>
            <w:vAlign w:val="center"/>
          </w:tcPr>
          <w:p>
            <w:pPr>
              <w:spacing w:after="120" w:line="276"/>
            </w:pPr>
            <w:r>
              <w:rPr>
                <w:rFonts w:ascii="Arial" w:cs="Arial" w:eastAsia="Arial" w:hAnsi="Arial"/>
                <w:b/>
                <w:bCs/>
                <w:color w:val="FFFFFF"/>
                <w:sz w:val="18"/>
                <w:szCs w:val="18"/>
              </w:rPr>
              <w:t xml:space="preserve">$20.510-36.870</w:t>
            </w:r>
          </w:p>
        </w:tc>
        <w:tc>
          <w:tcPr>
            <w:tcW w:type="dxa" w:w="3860"/>
            <w:tcBorders>
              <w:top w:val="single" w:color="AAAAAA" w:sz="1"/>
              <w:left w:val="single" w:color="AAAAAA" w:sz="1"/>
              <w:bottom w:val="single" w:color="AAAAAA" w:sz="1"/>
              <w:right w:val="single" w:color="AAAAAA" w:sz="1"/>
            </w:tcBorders>
            <w:shd w:fill="1B5E20" w:val="clear"/>
            <w:tcMar>
              <w:top w:type="dxa" w:w="50"/>
              <w:left w:type="dxa" w:w="80"/>
              <w:bottom w:type="dxa" w:w="50"/>
              <w:right w:type="dxa" w:w="80"/>
            </w:tcMar>
            <w:vAlign w:val="center"/>
          </w:tcPr>
          <w:p>
            <w:pPr>
              <w:spacing w:after="120" w:line="276"/>
            </w:pPr>
            <w:r>
              <w:rPr>
                <w:rFonts w:ascii="Arial" w:cs="Arial" w:eastAsia="Arial" w:hAnsi="Arial"/>
                <w:color w:val="FFFFFF"/>
                <w:sz w:val="18"/>
                <w:szCs w:val="18"/>
              </w:rPr>
              <w:t xml:space="preserve">Escalonada en 3 fases</w:t>
            </w:r>
          </w:p>
        </w:tc>
      </w:tr>
    </w:tbl>
    <w:p>
      <w:pPr>
        <w:spacing w:after="80"/>
      </w:pPr>
      <w:r>
        <w:rPr>
          <w:rFonts w:ascii="Arial" w:cs="Arial" w:eastAsia="Arial" w:hAnsi="Arial"/>
          <w:color w:val="333333"/>
          <w:sz w:val="24"/>
          <w:szCs w:val="24"/>
        </w:rPr>
        <w:t xml:space="preserve"/>
      </w:r>
    </w:p>
    <w:p>
      <w:pPr>
        <w:pStyle w:val="Heading3"/>
        <w:spacing w:before="160" w:after="120"/>
      </w:pPr>
      <w:r>
        <w:rPr>
          <w:rFonts w:ascii="Arial" w:cs="Arial" w:eastAsia="Arial" w:hAnsi="Arial"/>
          <w:b/>
          <w:bCs/>
          <w:color w:val="E65100"/>
          <w:sz w:val="24"/>
          <w:szCs w:val="24"/>
        </w:rPr>
        <w:t xml:space="preserve">5.2 Costos fijos mensuales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c>
          <w:tcPr>
            <w:tcW w:type="dxa" w:w="3500"/>
            <w:tcBorders>
              <w:top w:val="single" w:color="AAAAAA" w:sz="1"/>
              <w:left w:val="single" w:color="AAAAAA" w:sz="1"/>
              <w:bottom w:val="single" w:color="AAAAAA" w:sz="1"/>
              <w:right w:val="single" w:color="AAAAAA" w:sz="1"/>
            </w:tcBorders>
            <w:shd w:fill="E65100" w:val="clear"/>
            <w:tcMar>
              <w:top w:type="dxa" w:w="50"/>
              <w:left w:type="dxa" w:w="80"/>
              <w:bottom w:type="dxa" w:w="50"/>
              <w:right w:type="dxa" w:w="80"/>
            </w:tcMar>
            <w:vAlign w:val="center"/>
          </w:tcPr>
          <w:p>
            <w:pPr>
              <w:spacing w:after="120" w:line="276"/>
            </w:pPr>
            <w:r>
              <w:rPr>
                <w:rFonts w:ascii="Arial" w:cs="Arial" w:eastAsia="Arial" w:hAnsi="Arial"/>
                <w:b/>
                <w:bCs/>
                <w:color w:val="FFFFFF"/>
                <w:sz w:val="18"/>
                <w:szCs w:val="18"/>
              </w:rPr>
              <w:t xml:space="preserve">Concepto</w:t>
            </w:r>
          </w:p>
        </w:tc>
        <w:tc>
          <w:tcPr>
            <w:tcW w:type="dxa" w:w="3000"/>
            <w:tcBorders>
              <w:top w:val="single" w:color="AAAAAA" w:sz="1"/>
              <w:left w:val="single" w:color="AAAAAA" w:sz="1"/>
              <w:bottom w:val="single" w:color="AAAAAA" w:sz="1"/>
              <w:right w:val="single" w:color="AAAAAA" w:sz="1"/>
            </w:tcBorders>
            <w:shd w:fill="E65100" w:val="clear"/>
            <w:tcMar>
              <w:top w:type="dxa" w:w="50"/>
              <w:left w:type="dxa" w:w="80"/>
              <w:bottom w:type="dxa" w:w="50"/>
              <w:right w:type="dxa" w:w="80"/>
            </w:tcMar>
            <w:vAlign w:val="center"/>
          </w:tcPr>
          <w:p>
            <w:pPr>
              <w:spacing w:after="120" w:line="276"/>
            </w:pPr>
            <w:r>
              <w:rPr>
                <w:rFonts w:ascii="Arial" w:cs="Arial" w:eastAsia="Arial" w:hAnsi="Arial"/>
                <w:b/>
                <w:bCs/>
                <w:color w:val="FFFFFF"/>
                <w:sz w:val="18"/>
                <w:szCs w:val="18"/>
              </w:rPr>
              <w:t xml:space="preserve">Bs/mes</w:t>
            </w:r>
          </w:p>
        </w:tc>
        <w:tc>
          <w:tcPr>
            <w:tcW w:type="dxa" w:w="2860"/>
            <w:tcBorders>
              <w:top w:val="single" w:color="AAAAAA" w:sz="1"/>
              <w:left w:val="single" w:color="AAAAAA" w:sz="1"/>
              <w:bottom w:val="single" w:color="AAAAAA" w:sz="1"/>
              <w:right w:val="single" w:color="AAAAAA" w:sz="1"/>
            </w:tcBorders>
            <w:shd w:fill="E65100" w:val="clear"/>
            <w:tcMar>
              <w:top w:type="dxa" w:w="50"/>
              <w:left w:type="dxa" w:w="80"/>
              <w:bottom w:type="dxa" w:w="50"/>
              <w:right w:type="dxa" w:w="80"/>
            </w:tcMar>
            <w:vAlign w:val="center"/>
          </w:tcPr>
          <w:p>
            <w:pPr>
              <w:spacing w:after="120" w:line="276"/>
            </w:pPr>
            <w:r>
              <w:rPr>
                <w:rFonts w:ascii="Arial" w:cs="Arial" w:eastAsia="Arial" w:hAnsi="Arial"/>
                <w:b/>
                <w:bCs/>
                <w:color w:val="FFFFFF"/>
                <w:sz w:val="18"/>
                <w:szCs w:val="18"/>
              </w:rPr>
              <w:t xml:space="preserve">USD/mes</w:t>
            </w:r>
          </w:p>
        </w:tc>
      </w:tr>
      <w:tr>
        <w:tc>
          <w:tcPr>
            <w:tcW w:type="dxa" w:w="3500"/>
            <w:tcBorders>
              <w:top w:val="single" w:color="AAAAAA" w:sz="1"/>
              <w:left w:val="single" w:color="AAAAAA" w:sz="1"/>
              <w:bottom w:val="single" w:color="AAAAAA" w:sz="1"/>
              <w:right w:val="single" w:color="AAAAAA" w:sz="1"/>
            </w:tcBorders>
            <w:shd w:fill="FFF3E0" w:val="clear"/>
            <w:tcMar>
              <w:top w:type="dxa" w:w="50"/>
              <w:left w:type="dxa" w:w="80"/>
              <w:bottom w:type="dxa" w:w="50"/>
              <w:right w:type="dxa" w:w="80"/>
            </w:tcMar>
            <w:vAlign w:val="center"/>
          </w:tcPr>
          <w:p>
            <w:pPr>
              <w:spacing w:after="120" w:line="276"/>
            </w:pPr>
            <w:r>
              <w:rPr>
                <w:rFonts w:ascii="Arial" w:cs="Arial" w:eastAsia="Arial" w:hAnsi="Arial"/>
                <w:b w:val="false"/>
                <w:bCs w:val="false"/>
                <w:color w:val="333333"/>
                <w:sz w:val="18"/>
                <w:szCs w:val="18"/>
              </w:rPr>
              <w:t xml:space="preserve">Salarios (8 personas)</w:t>
            </w:r>
          </w:p>
        </w:tc>
        <w:tc>
          <w:tcPr>
            <w:tcW w:type="dxa" w:w="3000"/>
            <w:tcBorders>
              <w:top w:val="single" w:color="AAAAAA" w:sz="1"/>
              <w:left w:val="single" w:color="AAAAAA" w:sz="1"/>
              <w:bottom w:val="single" w:color="AAAAAA" w:sz="1"/>
              <w:right w:val="single" w:color="AAAAAA" w:sz="1"/>
            </w:tcBorders>
            <w:shd w:fill="FFF3E0" w:val="clear"/>
            <w:tcMar>
              <w:top w:type="dxa" w:w="50"/>
              <w:left w:type="dxa" w:w="80"/>
              <w:bottom w:type="dxa" w:w="50"/>
              <w:right w:type="dxa" w:w="80"/>
            </w:tcMar>
            <w:vAlign w:val="center"/>
          </w:tcPr>
          <w:p>
            <w:pPr>
              <w:spacing w:after="120" w:line="276"/>
            </w:pPr>
            <w:r>
              <w:rPr>
                <w:rFonts w:ascii="Arial" w:cs="Arial" w:eastAsia="Arial" w:hAnsi="Arial"/>
                <w:b/>
                <w:bCs/>
                <w:color w:val="E65100"/>
                <w:sz w:val="18"/>
                <w:szCs w:val="18"/>
              </w:rPr>
              <w:t xml:space="preserve">Bs 22.000-28.000</w:t>
            </w:r>
          </w:p>
        </w:tc>
        <w:tc>
          <w:tcPr>
            <w:tcW w:type="dxa" w:w="2860"/>
            <w:tcBorders>
              <w:top w:val="single" w:color="AAAAAA" w:sz="1"/>
              <w:left w:val="single" w:color="AAAAAA" w:sz="1"/>
              <w:bottom w:val="single" w:color="AAAAAA" w:sz="1"/>
              <w:right w:val="single" w:color="AAAAAA" w:sz="1"/>
            </w:tcBorders>
            <w:shd w:fill="FFF3E0" w:val="clear"/>
            <w:tcMar>
              <w:top w:type="dxa" w:w="50"/>
              <w:left w:type="dxa" w:w="80"/>
              <w:bottom w:type="dxa" w:w="50"/>
              <w:right w:type="dxa" w:w="80"/>
            </w:tcMar>
            <w:vAlign w:val="center"/>
          </w:tcPr>
          <w:p>
            <w:pPr>
              <w:spacing w:after="120" w:line="276"/>
            </w:pPr>
            <w:r>
              <w:rPr>
                <w:rFonts w:ascii="Arial" w:cs="Arial" w:eastAsia="Arial" w:hAnsi="Arial"/>
                <w:color w:val="666666"/>
                <w:sz w:val="18"/>
                <w:szCs w:val="18"/>
              </w:rPr>
              <w:t xml:space="preserve">$3.160-4.020</w:t>
            </w:r>
          </w:p>
        </w:tc>
      </w:tr>
      <w:tr>
        <w:tc>
          <w:tcPr>
            <w:tcW w:type="dxa" w:w="35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20" w:line="276"/>
            </w:pPr>
            <w:r>
              <w:rPr>
                <w:rFonts w:ascii="Arial" w:cs="Arial" w:eastAsia="Arial" w:hAnsi="Arial"/>
                <w:b w:val="false"/>
                <w:bCs w:val="false"/>
                <w:color w:val="333333"/>
                <w:sz w:val="18"/>
                <w:szCs w:val="18"/>
              </w:rPr>
              <w:t xml:space="preserve">Alquiler planta (300 m² zona industrial)</w:t>
            </w:r>
          </w:p>
        </w:tc>
        <w:tc>
          <w:tcPr>
            <w:tcW w:type="dxa" w:w="30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20" w:line="276"/>
            </w:pPr>
            <w:r>
              <w:rPr>
                <w:rFonts w:ascii="Arial" w:cs="Arial" w:eastAsia="Arial" w:hAnsi="Arial"/>
                <w:b/>
                <w:bCs/>
                <w:color w:val="E65100"/>
                <w:sz w:val="18"/>
                <w:szCs w:val="18"/>
              </w:rPr>
              <w:t xml:space="preserve">Bs 3.500-5.000</w:t>
            </w:r>
          </w:p>
        </w:tc>
        <w:tc>
          <w:tcPr>
            <w:tcW w:type="dxa" w:w="286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20" w:line="276"/>
            </w:pPr>
            <w:r>
              <w:rPr>
                <w:rFonts w:ascii="Arial" w:cs="Arial" w:eastAsia="Arial" w:hAnsi="Arial"/>
                <w:color w:val="666666"/>
                <w:sz w:val="18"/>
                <w:szCs w:val="18"/>
              </w:rPr>
              <w:t xml:space="preserve">$503-718</w:t>
            </w:r>
          </w:p>
        </w:tc>
      </w:tr>
      <w:tr>
        <w:tc>
          <w:tcPr>
            <w:tcW w:type="dxa" w:w="3500"/>
            <w:tcBorders>
              <w:top w:val="single" w:color="AAAAAA" w:sz="1"/>
              <w:left w:val="single" w:color="AAAAAA" w:sz="1"/>
              <w:bottom w:val="single" w:color="AAAAAA" w:sz="1"/>
              <w:right w:val="single" w:color="AAAAAA" w:sz="1"/>
            </w:tcBorders>
            <w:shd w:fill="FFF3E0" w:val="clear"/>
            <w:tcMar>
              <w:top w:type="dxa" w:w="50"/>
              <w:left w:type="dxa" w:w="80"/>
              <w:bottom w:type="dxa" w:w="50"/>
              <w:right w:type="dxa" w:w="80"/>
            </w:tcMar>
            <w:vAlign w:val="center"/>
          </w:tcPr>
          <w:p>
            <w:pPr>
              <w:spacing w:after="120" w:line="276"/>
            </w:pPr>
            <w:r>
              <w:rPr>
                <w:rFonts w:ascii="Arial" w:cs="Arial" w:eastAsia="Arial" w:hAnsi="Arial"/>
                <w:b w:val="false"/>
                <w:bCs w:val="false"/>
                <w:color w:val="333333"/>
                <w:sz w:val="18"/>
                <w:szCs w:val="18"/>
              </w:rPr>
              <w:t xml:space="preserve">Servicios básicos (luz, agua, gas)</w:t>
            </w:r>
          </w:p>
        </w:tc>
        <w:tc>
          <w:tcPr>
            <w:tcW w:type="dxa" w:w="3000"/>
            <w:tcBorders>
              <w:top w:val="single" w:color="AAAAAA" w:sz="1"/>
              <w:left w:val="single" w:color="AAAAAA" w:sz="1"/>
              <w:bottom w:val="single" w:color="AAAAAA" w:sz="1"/>
              <w:right w:val="single" w:color="AAAAAA" w:sz="1"/>
            </w:tcBorders>
            <w:shd w:fill="FFF3E0" w:val="clear"/>
            <w:tcMar>
              <w:top w:type="dxa" w:w="50"/>
              <w:left w:type="dxa" w:w="80"/>
              <w:bottom w:type="dxa" w:w="50"/>
              <w:right w:type="dxa" w:w="80"/>
            </w:tcMar>
            <w:vAlign w:val="center"/>
          </w:tcPr>
          <w:p>
            <w:pPr>
              <w:spacing w:after="120" w:line="276"/>
            </w:pPr>
            <w:r>
              <w:rPr>
                <w:rFonts w:ascii="Arial" w:cs="Arial" w:eastAsia="Arial" w:hAnsi="Arial"/>
                <w:b/>
                <w:bCs/>
                <w:color w:val="E65100"/>
                <w:sz w:val="18"/>
                <w:szCs w:val="18"/>
              </w:rPr>
              <w:t xml:space="preserve">Bs 1.500-2.500</w:t>
            </w:r>
          </w:p>
        </w:tc>
        <w:tc>
          <w:tcPr>
            <w:tcW w:type="dxa" w:w="2860"/>
            <w:tcBorders>
              <w:top w:val="single" w:color="AAAAAA" w:sz="1"/>
              <w:left w:val="single" w:color="AAAAAA" w:sz="1"/>
              <w:bottom w:val="single" w:color="AAAAAA" w:sz="1"/>
              <w:right w:val="single" w:color="AAAAAA" w:sz="1"/>
            </w:tcBorders>
            <w:shd w:fill="FFF3E0" w:val="clear"/>
            <w:tcMar>
              <w:top w:type="dxa" w:w="50"/>
              <w:left w:type="dxa" w:w="80"/>
              <w:bottom w:type="dxa" w:w="50"/>
              <w:right w:type="dxa" w:w="80"/>
            </w:tcMar>
            <w:vAlign w:val="center"/>
          </w:tcPr>
          <w:p>
            <w:pPr>
              <w:spacing w:after="120" w:line="276"/>
            </w:pPr>
            <w:r>
              <w:rPr>
                <w:rFonts w:ascii="Arial" w:cs="Arial" w:eastAsia="Arial" w:hAnsi="Arial"/>
                <w:color w:val="666666"/>
                <w:sz w:val="18"/>
                <w:szCs w:val="18"/>
              </w:rPr>
              <w:t xml:space="preserve">$215-359</w:t>
            </w:r>
          </w:p>
        </w:tc>
      </w:tr>
      <w:tr>
        <w:tc>
          <w:tcPr>
            <w:tcW w:type="dxa" w:w="35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20" w:line="276"/>
            </w:pPr>
            <w:r>
              <w:rPr>
                <w:rFonts w:ascii="Arial" w:cs="Arial" w:eastAsia="Arial" w:hAnsi="Arial"/>
                <w:b w:val="false"/>
                <w:bCs w:val="false"/>
                <w:color w:val="333333"/>
                <w:sz w:val="18"/>
                <w:szCs w:val="18"/>
              </w:rPr>
              <w:t xml:space="preserve">Combustible vehículo</w:t>
            </w:r>
          </w:p>
        </w:tc>
        <w:tc>
          <w:tcPr>
            <w:tcW w:type="dxa" w:w="30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20" w:line="276"/>
            </w:pPr>
            <w:r>
              <w:rPr>
                <w:rFonts w:ascii="Arial" w:cs="Arial" w:eastAsia="Arial" w:hAnsi="Arial"/>
                <w:b/>
                <w:bCs/>
                <w:color w:val="E65100"/>
                <w:sz w:val="18"/>
                <w:szCs w:val="18"/>
              </w:rPr>
              <w:t xml:space="preserve">Bs 1.200-1.800</w:t>
            </w:r>
          </w:p>
        </w:tc>
        <w:tc>
          <w:tcPr>
            <w:tcW w:type="dxa" w:w="286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20" w:line="276"/>
            </w:pPr>
            <w:r>
              <w:rPr>
                <w:rFonts w:ascii="Arial" w:cs="Arial" w:eastAsia="Arial" w:hAnsi="Arial"/>
                <w:color w:val="666666"/>
                <w:sz w:val="18"/>
                <w:szCs w:val="18"/>
              </w:rPr>
              <w:t xml:space="preserve">$172-259</w:t>
            </w:r>
          </w:p>
        </w:tc>
      </w:tr>
      <w:tr>
        <w:tc>
          <w:tcPr>
            <w:tcW w:type="dxa" w:w="3500"/>
            <w:tcBorders>
              <w:top w:val="single" w:color="AAAAAA" w:sz="1"/>
              <w:left w:val="single" w:color="AAAAAA" w:sz="1"/>
              <w:bottom w:val="single" w:color="AAAAAA" w:sz="1"/>
              <w:right w:val="single" w:color="AAAAAA" w:sz="1"/>
            </w:tcBorders>
            <w:shd w:fill="FFF3E0" w:val="clear"/>
            <w:tcMar>
              <w:top w:type="dxa" w:w="50"/>
              <w:left w:type="dxa" w:w="80"/>
              <w:bottom w:type="dxa" w:w="50"/>
              <w:right w:type="dxa" w:w="80"/>
            </w:tcMar>
            <w:vAlign w:val="center"/>
          </w:tcPr>
          <w:p>
            <w:pPr>
              <w:spacing w:after="120" w:line="276"/>
            </w:pPr>
            <w:r>
              <w:rPr>
                <w:rFonts w:ascii="Arial" w:cs="Arial" w:eastAsia="Arial" w:hAnsi="Arial"/>
                <w:b w:val="false"/>
                <w:bCs w:val="false"/>
                <w:color w:val="333333"/>
                <w:sz w:val="18"/>
                <w:szCs w:val="18"/>
              </w:rPr>
              <w:t xml:space="preserve">Mantenimiento maquinaria</w:t>
            </w:r>
          </w:p>
        </w:tc>
        <w:tc>
          <w:tcPr>
            <w:tcW w:type="dxa" w:w="3000"/>
            <w:tcBorders>
              <w:top w:val="single" w:color="AAAAAA" w:sz="1"/>
              <w:left w:val="single" w:color="AAAAAA" w:sz="1"/>
              <w:bottom w:val="single" w:color="AAAAAA" w:sz="1"/>
              <w:right w:val="single" w:color="AAAAAA" w:sz="1"/>
            </w:tcBorders>
            <w:shd w:fill="FFF3E0" w:val="clear"/>
            <w:tcMar>
              <w:top w:type="dxa" w:w="50"/>
              <w:left w:type="dxa" w:w="80"/>
              <w:bottom w:type="dxa" w:w="50"/>
              <w:right w:type="dxa" w:w="80"/>
            </w:tcMar>
            <w:vAlign w:val="center"/>
          </w:tcPr>
          <w:p>
            <w:pPr>
              <w:spacing w:after="120" w:line="276"/>
            </w:pPr>
            <w:r>
              <w:rPr>
                <w:rFonts w:ascii="Arial" w:cs="Arial" w:eastAsia="Arial" w:hAnsi="Arial"/>
                <w:b/>
                <w:bCs/>
                <w:color w:val="E65100"/>
                <w:sz w:val="18"/>
                <w:szCs w:val="18"/>
              </w:rPr>
              <w:t xml:space="preserve">Bs 500-1.000</w:t>
            </w:r>
          </w:p>
        </w:tc>
        <w:tc>
          <w:tcPr>
            <w:tcW w:type="dxa" w:w="2860"/>
            <w:tcBorders>
              <w:top w:val="single" w:color="AAAAAA" w:sz="1"/>
              <w:left w:val="single" w:color="AAAAAA" w:sz="1"/>
              <w:bottom w:val="single" w:color="AAAAAA" w:sz="1"/>
              <w:right w:val="single" w:color="AAAAAA" w:sz="1"/>
            </w:tcBorders>
            <w:shd w:fill="FFF3E0" w:val="clear"/>
            <w:tcMar>
              <w:top w:type="dxa" w:w="50"/>
              <w:left w:type="dxa" w:w="80"/>
              <w:bottom w:type="dxa" w:w="50"/>
              <w:right w:type="dxa" w:w="80"/>
            </w:tcMar>
            <w:vAlign w:val="center"/>
          </w:tcPr>
          <w:p>
            <w:pPr>
              <w:spacing w:after="120" w:line="276"/>
            </w:pPr>
            <w:r>
              <w:rPr>
                <w:rFonts w:ascii="Arial" w:cs="Arial" w:eastAsia="Arial" w:hAnsi="Arial"/>
                <w:color w:val="666666"/>
                <w:sz w:val="18"/>
                <w:szCs w:val="18"/>
              </w:rPr>
              <w:t xml:space="preserve">$72-144</w:t>
            </w:r>
          </w:p>
        </w:tc>
      </w:tr>
      <w:tr>
        <w:tc>
          <w:tcPr>
            <w:tcW w:type="dxa" w:w="35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20" w:line="276"/>
            </w:pPr>
            <w:r>
              <w:rPr>
                <w:rFonts w:ascii="Arial" w:cs="Arial" w:eastAsia="Arial" w:hAnsi="Arial"/>
                <w:b w:val="false"/>
                <w:bCs w:val="false"/>
                <w:color w:val="333333"/>
                <w:sz w:val="18"/>
                <w:szCs w:val="18"/>
              </w:rPr>
              <w:t xml:space="preserve">Internet + telefonía</w:t>
            </w:r>
          </w:p>
        </w:tc>
        <w:tc>
          <w:tcPr>
            <w:tcW w:type="dxa" w:w="30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20" w:line="276"/>
            </w:pPr>
            <w:r>
              <w:rPr>
                <w:rFonts w:ascii="Arial" w:cs="Arial" w:eastAsia="Arial" w:hAnsi="Arial"/>
                <w:b/>
                <w:bCs/>
                <w:color w:val="E65100"/>
                <w:sz w:val="18"/>
                <w:szCs w:val="18"/>
              </w:rPr>
              <w:t xml:space="preserve">Bs 300-500</w:t>
            </w:r>
          </w:p>
        </w:tc>
        <w:tc>
          <w:tcPr>
            <w:tcW w:type="dxa" w:w="286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20" w:line="276"/>
            </w:pPr>
            <w:r>
              <w:rPr>
                <w:rFonts w:ascii="Arial" w:cs="Arial" w:eastAsia="Arial" w:hAnsi="Arial"/>
                <w:color w:val="666666"/>
                <w:sz w:val="18"/>
                <w:szCs w:val="18"/>
              </w:rPr>
              <w:t xml:space="preserve">$43-72</w:t>
            </w:r>
          </w:p>
        </w:tc>
      </w:tr>
      <w:tr>
        <w:tc>
          <w:tcPr>
            <w:tcW w:type="dxa" w:w="3500"/>
            <w:tcBorders>
              <w:top w:val="single" w:color="AAAAAA" w:sz="1"/>
              <w:left w:val="single" w:color="AAAAAA" w:sz="1"/>
              <w:bottom w:val="single" w:color="AAAAAA" w:sz="1"/>
              <w:right w:val="single" w:color="AAAAAA" w:sz="1"/>
            </w:tcBorders>
            <w:shd w:fill="FFF3E0" w:val="clear"/>
            <w:tcMar>
              <w:top w:type="dxa" w:w="50"/>
              <w:left w:type="dxa" w:w="80"/>
              <w:bottom w:type="dxa" w:w="50"/>
              <w:right w:type="dxa" w:w="80"/>
            </w:tcMar>
            <w:vAlign w:val="center"/>
          </w:tcPr>
          <w:p>
            <w:pPr>
              <w:spacing w:after="120" w:line="276"/>
            </w:pPr>
            <w:r>
              <w:rPr>
                <w:rFonts w:ascii="Arial" w:cs="Arial" w:eastAsia="Arial" w:hAnsi="Arial"/>
                <w:b w:val="false"/>
                <w:bCs w:val="false"/>
                <w:color w:val="333333"/>
                <w:sz w:val="18"/>
                <w:szCs w:val="18"/>
              </w:rPr>
              <w:t xml:space="preserve">Seguros</w:t>
            </w:r>
          </w:p>
        </w:tc>
        <w:tc>
          <w:tcPr>
            <w:tcW w:type="dxa" w:w="3000"/>
            <w:tcBorders>
              <w:top w:val="single" w:color="AAAAAA" w:sz="1"/>
              <w:left w:val="single" w:color="AAAAAA" w:sz="1"/>
              <w:bottom w:val="single" w:color="AAAAAA" w:sz="1"/>
              <w:right w:val="single" w:color="AAAAAA" w:sz="1"/>
            </w:tcBorders>
            <w:shd w:fill="FFF3E0" w:val="clear"/>
            <w:tcMar>
              <w:top w:type="dxa" w:w="50"/>
              <w:left w:type="dxa" w:w="80"/>
              <w:bottom w:type="dxa" w:w="50"/>
              <w:right w:type="dxa" w:w="80"/>
            </w:tcMar>
            <w:vAlign w:val="center"/>
          </w:tcPr>
          <w:p>
            <w:pPr>
              <w:spacing w:after="120" w:line="276"/>
            </w:pPr>
            <w:r>
              <w:rPr>
                <w:rFonts w:ascii="Arial" w:cs="Arial" w:eastAsia="Arial" w:hAnsi="Arial"/>
                <w:b/>
                <w:bCs/>
                <w:color w:val="E65100"/>
                <w:sz w:val="18"/>
                <w:szCs w:val="18"/>
              </w:rPr>
              <w:t xml:space="preserve">Bs 400-600</w:t>
            </w:r>
          </w:p>
        </w:tc>
        <w:tc>
          <w:tcPr>
            <w:tcW w:type="dxa" w:w="2860"/>
            <w:tcBorders>
              <w:top w:val="single" w:color="AAAAAA" w:sz="1"/>
              <w:left w:val="single" w:color="AAAAAA" w:sz="1"/>
              <w:bottom w:val="single" w:color="AAAAAA" w:sz="1"/>
              <w:right w:val="single" w:color="AAAAAA" w:sz="1"/>
            </w:tcBorders>
            <w:shd w:fill="FFF3E0" w:val="clear"/>
            <w:tcMar>
              <w:top w:type="dxa" w:w="50"/>
              <w:left w:type="dxa" w:w="80"/>
              <w:bottom w:type="dxa" w:w="50"/>
              <w:right w:type="dxa" w:w="80"/>
            </w:tcMar>
            <w:vAlign w:val="center"/>
          </w:tcPr>
          <w:p>
            <w:pPr>
              <w:spacing w:after="120" w:line="276"/>
            </w:pPr>
            <w:r>
              <w:rPr>
                <w:rFonts w:ascii="Arial" w:cs="Arial" w:eastAsia="Arial" w:hAnsi="Arial"/>
                <w:color w:val="666666"/>
                <w:sz w:val="18"/>
                <w:szCs w:val="18"/>
              </w:rPr>
              <w:t xml:space="preserve">$57-86</w:t>
            </w:r>
          </w:p>
        </w:tc>
      </w:tr>
      <w:tr>
        <w:tc>
          <w:tcPr>
            <w:tcW w:type="dxa" w:w="3500"/>
            <w:tcBorders>
              <w:top w:val="single" w:color="AAAAAA" w:sz="1"/>
              <w:left w:val="single" w:color="AAAAAA" w:sz="1"/>
              <w:bottom w:val="single" w:color="AAAAAA" w:sz="1"/>
              <w:right w:val="single" w:color="AAAAAA" w:sz="1"/>
            </w:tcBorders>
            <w:shd w:fill="E65100" w:val="clear"/>
            <w:tcMar>
              <w:top w:type="dxa" w:w="50"/>
              <w:left w:type="dxa" w:w="80"/>
              <w:bottom w:type="dxa" w:w="50"/>
              <w:right w:type="dxa" w:w="80"/>
            </w:tcMar>
            <w:vAlign w:val="center"/>
          </w:tcPr>
          <w:p>
            <w:pPr>
              <w:spacing w:after="120" w:line="276"/>
            </w:pPr>
            <w:r>
              <w:rPr>
                <w:rFonts w:ascii="Arial" w:cs="Arial" w:eastAsia="Arial" w:hAnsi="Arial"/>
                <w:b/>
                <w:bCs/>
                <w:color w:val="FFFFFF"/>
                <w:sz w:val="18"/>
                <w:szCs w:val="18"/>
              </w:rPr>
              <w:t xml:space="preserve">TOTAL COSTOS FIJOS</w:t>
            </w:r>
          </w:p>
        </w:tc>
        <w:tc>
          <w:tcPr>
            <w:tcW w:type="dxa" w:w="3000"/>
            <w:tcBorders>
              <w:top w:val="single" w:color="AAAAAA" w:sz="1"/>
              <w:left w:val="single" w:color="AAAAAA" w:sz="1"/>
              <w:bottom w:val="single" w:color="AAAAAA" w:sz="1"/>
              <w:right w:val="single" w:color="AAAAAA" w:sz="1"/>
            </w:tcBorders>
            <w:shd w:fill="E65100" w:val="clear"/>
            <w:tcMar>
              <w:top w:type="dxa" w:w="50"/>
              <w:left w:type="dxa" w:w="80"/>
              <w:bottom w:type="dxa" w:w="50"/>
              <w:right w:type="dxa" w:w="80"/>
            </w:tcMar>
            <w:vAlign w:val="center"/>
          </w:tcPr>
          <w:p>
            <w:pPr>
              <w:spacing w:after="120" w:line="276"/>
            </w:pPr>
            <w:r>
              <w:rPr>
                <w:rFonts w:ascii="Arial" w:cs="Arial" w:eastAsia="Arial" w:hAnsi="Arial"/>
                <w:b/>
                <w:bCs/>
                <w:color w:val="FFFFFF"/>
                <w:sz w:val="18"/>
                <w:szCs w:val="18"/>
              </w:rPr>
              <w:t xml:space="preserve">Bs 29.400-39.400</w:t>
            </w:r>
          </w:p>
        </w:tc>
        <w:tc>
          <w:tcPr>
            <w:tcW w:type="dxa" w:w="2860"/>
            <w:tcBorders>
              <w:top w:val="single" w:color="AAAAAA" w:sz="1"/>
              <w:left w:val="single" w:color="AAAAAA" w:sz="1"/>
              <w:bottom w:val="single" w:color="AAAAAA" w:sz="1"/>
              <w:right w:val="single" w:color="AAAAAA" w:sz="1"/>
            </w:tcBorders>
            <w:shd w:fill="E65100" w:val="clear"/>
            <w:tcMar>
              <w:top w:type="dxa" w:w="50"/>
              <w:left w:type="dxa" w:w="80"/>
              <w:bottom w:type="dxa" w:w="50"/>
              <w:right w:type="dxa" w:w="80"/>
            </w:tcMar>
            <w:vAlign w:val="center"/>
          </w:tcPr>
          <w:p>
            <w:pPr>
              <w:spacing w:after="120" w:line="276"/>
            </w:pPr>
            <w:r>
              <w:rPr>
                <w:rFonts w:ascii="Arial" w:cs="Arial" w:eastAsia="Arial" w:hAnsi="Arial"/>
                <w:color w:val="FFFFFF"/>
                <w:sz w:val="18"/>
                <w:szCs w:val="18"/>
              </w:rPr>
              <w:t xml:space="preserve">$4.224-5.658</w:t>
            </w:r>
          </w:p>
        </w:tc>
      </w:tr>
    </w:tbl>
    <w:p>
      <w:pPr>
        <w:spacing w:after="80"/>
      </w:pPr>
      <w:r>
        <w:rPr>
          <w:rFonts w:ascii="Arial" w:cs="Arial" w:eastAsia="Arial" w:hAnsi="Arial"/>
          <w:color w:val="333333"/>
          <w:sz w:val="24"/>
          <w:szCs w:val="24"/>
        </w:rPr>
        <w:t xml:space="preserve"/>
      </w:r>
    </w:p>
    <w:p>
      <w:pPr>
        <w:pStyle w:val="Heading3"/>
        <w:spacing w:before="160" w:after="120"/>
      </w:pPr>
      <w:r>
        <w:rPr>
          <w:rFonts w:ascii="Arial" w:cs="Arial" w:eastAsia="Arial" w:hAnsi="Arial"/>
          <w:b/>
          <w:bCs/>
          <w:color w:val="E65100"/>
          <w:sz w:val="24"/>
          <w:szCs w:val="24"/>
        </w:rPr>
        <w:t xml:space="preserve">5.3 Costos variables por bloque de 25 kg</w:t>
      </w:r>
    </w:p>
    <w:p>
      <w:pPr>
        <w:spacing w:after="140" w:line="300"/>
      </w:pPr>
      <w:r>
        <w:rPr>
          <w:rFonts w:ascii="Arial" w:cs="Arial" w:eastAsia="Arial" w:hAnsi="Arial"/>
          <w:color w:val="333333"/>
          <w:sz w:val="24"/>
          <w:szCs w:val="24"/>
        </w:rPr>
        <w:t xml:space="preserve">Melaza (7,5 kg × Bs 1,465/1000 kg): Bs 11,00. Afrecho soya (3,75 kg): Bs 5,00. Urea (2,5 kg): Bs 5,00. Cal viva (2,5 kg): Bs 3,00. Sal mineralizada (1,25 kg): Bs 4,80. Azufre (0,25 kg): Bs 1,50. Empaque + etiqueta: Bs 3,00. Sangre, cascarilla, hueso, BSF: Bs 0 (residuos gratuitos). Total costo variable por bloque: Bs 33,30 (~$4,78 USD).</w:t>
      </w:r>
    </w:p>
    <w:p>
      <w:pPr>
        <w:pStyle w:val="Heading3"/>
        <w:spacing w:before="160" w:after="120"/>
      </w:pPr>
      <w:r>
        <w:rPr>
          <w:rFonts w:ascii="Arial" w:cs="Arial" w:eastAsia="Arial" w:hAnsi="Arial"/>
          <w:b/>
          <w:bCs/>
          <w:color w:val="E65100"/>
          <w:sz w:val="24"/>
          <w:szCs w:val="24"/>
        </w:rPr>
        <w:t xml:space="preserve">5.4 Costo unitario</w:t>
      </w:r>
    </w:p>
    <w:p>
      <w:pPr>
        <w:spacing w:after="140" w:line="300"/>
      </w:pPr>
      <w:r>
        <w:rPr>
          <w:rFonts w:ascii="Arial" w:cs="Arial" w:eastAsia="Arial" w:hAnsi="Arial"/>
          <w:color w:val="333333"/>
          <w:sz w:val="24"/>
          <w:szCs w:val="24"/>
        </w:rPr>
        <w:t xml:space="preserve">Costo variable/bloque: Bs 33,30. Costo fijo/bloque (con producción de 600 bloques/mes): Bs 29.400÷600 = Bs 49,00. Costo total/bloque: Bs 33,30 + Bs 49,00 = Bs 82,30. Con escala de 800 bloques/mes: Bs 33,30 + Bs 36,75 = Bs 70,05. Precio de venta: Bs 125 (promedio). Margen bruto (600 bloques): 34,2%. Margen bruto (800 bloques): 44,0%. Margen bruto sobre costo variable: 73,4%.</w:t>
      </w:r>
    </w:p>
    <w:p>
      <w:pPr>
        <w:pStyle w:val="Heading3"/>
        <w:spacing w:before="160" w:after="120"/>
      </w:pPr>
      <w:r>
        <w:rPr>
          <w:rFonts w:ascii="Arial" w:cs="Arial" w:eastAsia="Arial" w:hAnsi="Arial"/>
          <w:b/>
          <w:bCs/>
          <w:color w:val="E65100"/>
          <w:sz w:val="24"/>
          <w:szCs w:val="24"/>
        </w:rPr>
        <w:t xml:space="preserve">5.5 Capital de trabajo</w:t>
      </w:r>
    </w:p>
    <w:p>
      <w:pPr>
        <w:spacing w:after="140" w:line="300"/>
      </w:pPr>
      <w:r>
        <w:rPr>
          <w:rFonts w:ascii="Arial" w:cs="Arial" w:eastAsia="Arial" w:hAnsi="Arial"/>
          <w:color w:val="333333"/>
          <w:sz w:val="24"/>
          <w:szCs w:val="24"/>
        </w:rPr>
        <w:t xml:space="preserve">Capital de trabajo necesario para 3 meses de operación: Salarios (3 meses): Bs 75.000. Compra inicial de melaza (6 tn): Bs 8.790. Insumos comerciales (urea, cal, sal, azufre, 3 meses): Bs 12.000. Combustible (3 meses): Bs 4.500. Servicios (3 meses): Bs 6.000. Imprevistos (10%): Bs 10.629. Total capital de trabajo: Bs 116.919 ($16.800 USD).</w:t>
      </w:r>
    </w:p>
    <w:p>
      <w:pPr>
        <w:pStyle w:val="Heading3"/>
        <w:spacing w:before="160" w:after="120"/>
      </w:pPr>
      <w:r>
        <w:rPr>
          <w:rFonts w:ascii="Arial" w:cs="Arial" w:eastAsia="Arial" w:hAnsi="Arial"/>
          <w:b/>
          <w:bCs/>
          <w:color w:val="E65100"/>
          <w:sz w:val="24"/>
          <w:szCs w:val="24"/>
        </w:rPr>
        <w:t xml:space="preserve">5.6 Flujo de caja proyectado (3 años)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200"/>
        <w:gridCol w:w="2360"/>
      </w:tblGrid>
      <w:tr>
        <w:tc>
          <w:tcPr>
            <w:tcW w:type="dxa" w:w="2800"/>
            <w:tcBorders>
              <w:top w:val="single" w:color="AAAAAA" w:sz="1"/>
              <w:left w:val="single" w:color="AAAAAA" w:sz="1"/>
              <w:bottom w:val="single" w:color="AAAAAA" w:sz="1"/>
              <w:right w:val="single" w:color="AAAAAA" w:sz="1"/>
            </w:tcBorders>
            <w:shd w:fill="1565C0" w:val="clear"/>
            <w:tcMar>
              <w:top w:type="dxa" w:w="50"/>
              <w:left w:type="dxa" w:w="80"/>
              <w:bottom w:type="dxa" w:w="50"/>
              <w:right w:type="dxa" w:w="80"/>
            </w:tcMar>
            <w:vAlign w:val="center"/>
          </w:tcPr>
          <w:p>
            <w:pPr>
              <w:spacing w:after="120" w:line="276"/>
            </w:pPr>
            <w:r>
              <w:rPr>
                <w:rFonts w:ascii="Arial" w:cs="Arial" w:eastAsia="Arial" w:hAnsi="Arial"/>
                <w:b/>
                <w:bCs/>
                <w:color w:val="FFFFFF"/>
                <w:sz w:val="16"/>
                <w:szCs w:val="16"/>
              </w:rPr>
              <w:t xml:space="preserve">Concepto</w:t>
            </w:r>
          </w:p>
        </w:tc>
        <w:tc>
          <w:tcPr>
            <w:tcW w:type="dxa" w:w="2000"/>
            <w:tcBorders>
              <w:top w:val="single" w:color="AAAAAA" w:sz="1"/>
              <w:left w:val="single" w:color="AAAAAA" w:sz="1"/>
              <w:bottom w:val="single" w:color="AAAAAA" w:sz="1"/>
              <w:right w:val="single" w:color="AAAAAA" w:sz="1"/>
            </w:tcBorders>
            <w:shd w:fill="1565C0" w:val="clear"/>
            <w:tcMar>
              <w:top w:type="dxa" w:w="50"/>
              <w:left w:type="dxa" w:w="80"/>
              <w:bottom w:type="dxa" w:w="50"/>
              <w:right w:type="dxa" w:w="80"/>
            </w:tcMar>
            <w:vAlign w:val="center"/>
          </w:tcPr>
          <w:p>
            <w:pPr>
              <w:spacing w:after="120" w:line="276"/>
            </w:pPr>
            <w:r>
              <w:rPr>
                <w:rFonts w:ascii="Arial" w:cs="Arial" w:eastAsia="Arial" w:hAnsi="Arial"/>
                <w:b/>
                <w:bCs/>
                <w:color w:val="FFFFFF"/>
                <w:sz w:val="16"/>
                <w:szCs w:val="16"/>
              </w:rPr>
              <w:t xml:space="preserve">Año 1</w:t>
            </w:r>
          </w:p>
        </w:tc>
        <w:tc>
          <w:tcPr>
            <w:tcW w:type="dxa" w:w="2200"/>
            <w:tcBorders>
              <w:top w:val="single" w:color="AAAAAA" w:sz="1"/>
              <w:left w:val="single" w:color="AAAAAA" w:sz="1"/>
              <w:bottom w:val="single" w:color="AAAAAA" w:sz="1"/>
              <w:right w:val="single" w:color="AAAAAA" w:sz="1"/>
            </w:tcBorders>
            <w:shd w:fill="1565C0" w:val="clear"/>
            <w:tcMar>
              <w:top w:type="dxa" w:w="50"/>
              <w:left w:type="dxa" w:w="80"/>
              <w:bottom w:type="dxa" w:w="50"/>
              <w:right w:type="dxa" w:w="80"/>
            </w:tcMar>
            <w:vAlign w:val="center"/>
          </w:tcPr>
          <w:p>
            <w:pPr>
              <w:spacing w:after="120" w:line="276"/>
            </w:pPr>
            <w:r>
              <w:rPr>
                <w:rFonts w:ascii="Arial" w:cs="Arial" w:eastAsia="Arial" w:hAnsi="Arial"/>
                <w:b/>
                <w:bCs/>
                <w:color w:val="FFFFFF"/>
                <w:sz w:val="16"/>
                <w:szCs w:val="16"/>
              </w:rPr>
              <w:t xml:space="preserve">Año 2</w:t>
            </w:r>
          </w:p>
        </w:tc>
        <w:tc>
          <w:tcPr>
            <w:tcW w:type="dxa" w:w="2360"/>
            <w:tcBorders>
              <w:top w:val="single" w:color="AAAAAA" w:sz="1"/>
              <w:left w:val="single" w:color="AAAAAA" w:sz="1"/>
              <w:bottom w:val="single" w:color="AAAAAA" w:sz="1"/>
              <w:right w:val="single" w:color="AAAAAA" w:sz="1"/>
            </w:tcBorders>
            <w:shd w:fill="1565C0" w:val="clear"/>
            <w:tcMar>
              <w:top w:type="dxa" w:w="50"/>
              <w:left w:type="dxa" w:w="80"/>
              <w:bottom w:type="dxa" w:w="50"/>
              <w:right w:type="dxa" w:w="80"/>
            </w:tcMar>
            <w:vAlign w:val="center"/>
          </w:tcPr>
          <w:p>
            <w:pPr>
              <w:spacing w:after="120" w:line="276"/>
            </w:pPr>
            <w:r>
              <w:rPr>
                <w:rFonts w:ascii="Arial" w:cs="Arial" w:eastAsia="Arial" w:hAnsi="Arial"/>
                <w:b/>
                <w:bCs/>
                <w:color w:val="FFFFFF"/>
                <w:sz w:val="16"/>
                <w:szCs w:val="16"/>
              </w:rPr>
              <w:t xml:space="preserve">Año 3</w:t>
            </w:r>
          </w:p>
        </w:tc>
      </w:tr>
      <w:tr>
        <w:tc>
          <w:tcPr>
            <w:tcW w:type="dxa" w:w="2800"/>
            <w:tcBorders>
              <w:top w:val="single" w:color="AAAAAA" w:sz="1"/>
              <w:left w:val="single" w:color="AAAAAA" w:sz="1"/>
              <w:bottom w:val="single" w:color="AAAAAA" w:sz="1"/>
              <w:right w:val="single" w:color="AAAAAA" w:sz="1"/>
            </w:tcBorders>
            <w:shd w:fill="E3F2FD" w:val="clear"/>
            <w:tcMar>
              <w:top w:type="dxa" w:w="50"/>
              <w:left w:type="dxa" w:w="80"/>
              <w:bottom w:type="dxa" w:w="50"/>
              <w:right w:type="dxa" w:w="80"/>
            </w:tcMar>
            <w:vAlign w:val="center"/>
          </w:tcPr>
          <w:p>
            <w:pPr>
              <w:spacing w:after="120" w:line="276"/>
            </w:pPr>
            <w:r>
              <w:rPr>
                <w:rFonts w:ascii="Arial" w:cs="Arial" w:eastAsia="Arial" w:hAnsi="Arial"/>
                <w:b w:val="false"/>
                <w:bCs w:val="false"/>
                <w:color w:val="333333"/>
                <w:sz w:val="16"/>
                <w:szCs w:val="16"/>
              </w:rPr>
              <w:t xml:space="preserve">Bloques vendidos</w:t>
            </w:r>
          </w:p>
        </w:tc>
        <w:tc>
          <w:tcPr>
            <w:tcW w:type="dxa" w:w="2000"/>
            <w:tcBorders>
              <w:top w:val="single" w:color="AAAAAA" w:sz="1"/>
              <w:left w:val="single" w:color="AAAAAA" w:sz="1"/>
              <w:bottom w:val="single" w:color="AAAAAA" w:sz="1"/>
              <w:right w:val="single" w:color="AAAAAA" w:sz="1"/>
            </w:tcBorders>
            <w:shd w:fill="E3F2FD" w:val="clear"/>
            <w:tcMar>
              <w:top w:type="dxa" w:w="50"/>
              <w:left w:type="dxa" w:w="80"/>
              <w:bottom w:type="dxa" w:w="50"/>
              <w:right w:type="dxa" w:w="80"/>
            </w:tcMar>
            <w:vAlign w:val="center"/>
          </w:tcPr>
          <w:p>
            <w:pPr>
              <w:spacing w:after="120" w:line="276"/>
            </w:pPr>
            <w:r>
              <w:rPr>
                <w:rFonts w:ascii="Arial" w:cs="Arial" w:eastAsia="Arial" w:hAnsi="Arial"/>
                <w:b w:val="false"/>
                <w:bCs w:val="false"/>
                <w:color w:val="1565C0"/>
                <w:sz w:val="16"/>
                <w:szCs w:val="16"/>
              </w:rPr>
              <w:t xml:space="preserve">6.000</w:t>
            </w:r>
          </w:p>
        </w:tc>
        <w:tc>
          <w:tcPr>
            <w:tcW w:type="dxa" w:w="2200"/>
            <w:tcBorders>
              <w:top w:val="single" w:color="AAAAAA" w:sz="1"/>
              <w:left w:val="single" w:color="AAAAAA" w:sz="1"/>
              <w:bottom w:val="single" w:color="AAAAAA" w:sz="1"/>
              <w:right w:val="single" w:color="AAAAAA" w:sz="1"/>
            </w:tcBorders>
            <w:shd w:fill="E3F2FD" w:val="clear"/>
            <w:tcMar>
              <w:top w:type="dxa" w:w="50"/>
              <w:left w:type="dxa" w:w="80"/>
              <w:bottom w:type="dxa" w:w="50"/>
              <w:right w:type="dxa" w:w="80"/>
            </w:tcMar>
            <w:vAlign w:val="center"/>
          </w:tcPr>
          <w:p>
            <w:pPr>
              <w:spacing w:after="120" w:line="276"/>
            </w:pPr>
            <w:r>
              <w:rPr>
                <w:rFonts w:ascii="Arial" w:cs="Arial" w:eastAsia="Arial" w:hAnsi="Arial"/>
                <w:b w:val="false"/>
                <w:bCs w:val="false"/>
                <w:color w:val="1565C0"/>
                <w:sz w:val="16"/>
                <w:szCs w:val="16"/>
              </w:rPr>
              <w:t xml:space="preserve">10.000</w:t>
            </w:r>
          </w:p>
        </w:tc>
        <w:tc>
          <w:tcPr>
            <w:tcW w:type="dxa" w:w="2360"/>
            <w:tcBorders>
              <w:top w:val="single" w:color="AAAAAA" w:sz="1"/>
              <w:left w:val="single" w:color="AAAAAA" w:sz="1"/>
              <w:bottom w:val="single" w:color="AAAAAA" w:sz="1"/>
              <w:right w:val="single" w:color="AAAAAA" w:sz="1"/>
            </w:tcBorders>
            <w:shd w:fill="E3F2FD" w:val="clear"/>
            <w:tcMar>
              <w:top w:type="dxa" w:w="50"/>
              <w:left w:type="dxa" w:w="80"/>
              <w:bottom w:type="dxa" w:w="50"/>
              <w:right w:type="dxa" w:w="80"/>
            </w:tcMar>
            <w:vAlign w:val="center"/>
          </w:tcPr>
          <w:p>
            <w:pPr>
              <w:spacing w:after="120" w:line="276"/>
            </w:pPr>
            <w:r>
              <w:rPr>
                <w:rFonts w:ascii="Arial" w:cs="Arial" w:eastAsia="Arial" w:hAnsi="Arial"/>
                <w:b w:val="false"/>
                <w:bCs w:val="false"/>
                <w:color w:val="1565C0"/>
                <w:sz w:val="16"/>
                <w:szCs w:val="16"/>
              </w:rPr>
              <w:t xml:space="preserve">15.000</w:t>
            </w:r>
          </w:p>
        </w:tc>
      </w:tr>
      <w:tr>
        <w:tc>
          <w:tcPr>
            <w:tcW w:type="dxa" w:w="28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20" w:line="276"/>
            </w:pPr>
            <w:r>
              <w:rPr>
                <w:rFonts w:ascii="Arial" w:cs="Arial" w:eastAsia="Arial" w:hAnsi="Arial"/>
                <w:b w:val="false"/>
                <w:bCs w:val="false"/>
                <w:color w:val="333333"/>
                <w:sz w:val="16"/>
                <w:szCs w:val="16"/>
              </w:rPr>
              <w:t xml:space="preserve">Ingreso por ventas</w:t>
            </w:r>
          </w:p>
        </w:tc>
        <w:tc>
          <w:tcPr>
            <w:tcW w:type="dxa" w:w="20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20" w:line="276"/>
            </w:pPr>
            <w:r>
              <w:rPr>
                <w:rFonts w:ascii="Arial" w:cs="Arial" w:eastAsia="Arial" w:hAnsi="Arial"/>
                <w:b w:val="false"/>
                <w:bCs w:val="false"/>
                <w:color w:val="1565C0"/>
                <w:sz w:val="16"/>
                <w:szCs w:val="16"/>
              </w:rPr>
              <w:t xml:space="preserve">Bs 750.000</w:t>
            </w:r>
          </w:p>
        </w:tc>
        <w:tc>
          <w:tcPr>
            <w:tcW w:type="dxa" w:w="22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20" w:line="276"/>
            </w:pPr>
            <w:r>
              <w:rPr>
                <w:rFonts w:ascii="Arial" w:cs="Arial" w:eastAsia="Arial" w:hAnsi="Arial"/>
                <w:b w:val="false"/>
                <w:bCs w:val="false"/>
                <w:color w:val="1565C0"/>
                <w:sz w:val="16"/>
                <w:szCs w:val="16"/>
              </w:rPr>
              <w:t xml:space="preserve">Bs 1.250.000</w:t>
            </w:r>
          </w:p>
        </w:tc>
        <w:tc>
          <w:tcPr>
            <w:tcW w:type="dxa" w:w="236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20" w:line="276"/>
            </w:pPr>
            <w:r>
              <w:rPr>
                <w:rFonts w:ascii="Arial" w:cs="Arial" w:eastAsia="Arial" w:hAnsi="Arial"/>
                <w:b w:val="false"/>
                <w:bCs w:val="false"/>
                <w:color w:val="1565C0"/>
                <w:sz w:val="16"/>
                <w:szCs w:val="16"/>
              </w:rPr>
              <w:t xml:space="preserve">Bs 1.875.000</w:t>
            </w:r>
          </w:p>
        </w:tc>
      </w:tr>
      <w:tr>
        <w:tc>
          <w:tcPr>
            <w:tcW w:type="dxa" w:w="2800"/>
            <w:tcBorders>
              <w:top w:val="single" w:color="AAAAAA" w:sz="1"/>
              <w:left w:val="single" w:color="AAAAAA" w:sz="1"/>
              <w:bottom w:val="single" w:color="AAAAAA" w:sz="1"/>
              <w:right w:val="single" w:color="AAAAAA" w:sz="1"/>
            </w:tcBorders>
            <w:shd w:fill="E3F2FD" w:val="clear"/>
            <w:tcMar>
              <w:top w:type="dxa" w:w="50"/>
              <w:left w:type="dxa" w:w="80"/>
              <w:bottom w:type="dxa" w:w="50"/>
              <w:right w:type="dxa" w:w="80"/>
            </w:tcMar>
            <w:vAlign w:val="center"/>
          </w:tcPr>
          <w:p>
            <w:pPr>
              <w:spacing w:after="120" w:line="276"/>
            </w:pPr>
            <w:r>
              <w:rPr>
                <w:rFonts w:ascii="Arial" w:cs="Arial" w:eastAsia="Arial" w:hAnsi="Arial"/>
                <w:b w:val="false"/>
                <w:bCs w:val="false"/>
                <w:color w:val="333333"/>
                <w:sz w:val="16"/>
                <w:szCs w:val="16"/>
              </w:rPr>
              <w:t xml:space="preserve">Otros ingresos (harinas, compost)</w:t>
            </w:r>
          </w:p>
        </w:tc>
        <w:tc>
          <w:tcPr>
            <w:tcW w:type="dxa" w:w="2000"/>
            <w:tcBorders>
              <w:top w:val="single" w:color="AAAAAA" w:sz="1"/>
              <w:left w:val="single" w:color="AAAAAA" w:sz="1"/>
              <w:bottom w:val="single" w:color="AAAAAA" w:sz="1"/>
              <w:right w:val="single" w:color="AAAAAA" w:sz="1"/>
            </w:tcBorders>
            <w:shd w:fill="E3F2FD" w:val="clear"/>
            <w:tcMar>
              <w:top w:type="dxa" w:w="50"/>
              <w:left w:type="dxa" w:w="80"/>
              <w:bottom w:type="dxa" w:w="50"/>
              <w:right w:type="dxa" w:w="80"/>
            </w:tcMar>
            <w:vAlign w:val="center"/>
          </w:tcPr>
          <w:p>
            <w:pPr>
              <w:spacing w:after="120" w:line="276"/>
            </w:pPr>
            <w:r>
              <w:rPr>
                <w:rFonts w:ascii="Arial" w:cs="Arial" w:eastAsia="Arial" w:hAnsi="Arial"/>
                <w:b w:val="false"/>
                <w:bCs w:val="false"/>
                <w:color w:val="1565C0"/>
                <w:sz w:val="16"/>
                <w:szCs w:val="16"/>
              </w:rPr>
              <w:t xml:space="preserve">Bs 50.000</w:t>
            </w:r>
          </w:p>
        </w:tc>
        <w:tc>
          <w:tcPr>
            <w:tcW w:type="dxa" w:w="2200"/>
            <w:tcBorders>
              <w:top w:val="single" w:color="AAAAAA" w:sz="1"/>
              <w:left w:val="single" w:color="AAAAAA" w:sz="1"/>
              <w:bottom w:val="single" w:color="AAAAAA" w:sz="1"/>
              <w:right w:val="single" w:color="AAAAAA" w:sz="1"/>
            </w:tcBorders>
            <w:shd w:fill="E3F2FD" w:val="clear"/>
            <w:tcMar>
              <w:top w:type="dxa" w:w="50"/>
              <w:left w:type="dxa" w:w="80"/>
              <w:bottom w:type="dxa" w:w="50"/>
              <w:right w:type="dxa" w:w="80"/>
            </w:tcMar>
            <w:vAlign w:val="center"/>
          </w:tcPr>
          <w:p>
            <w:pPr>
              <w:spacing w:after="120" w:line="276"/>
            </w:pPr>
            <w:r>
              <w:rPr>
                <w:rFonts w:ascii="Arial" w:cs="Arial" w:eastAsia="Arial" w:hAnsi="Arial"/>
                <w:b w:val="false"/>
                <w:bCs w:val="false"/>
                <w:color w:val="1565C0"/>
                <w:sz w:val="16"/>
                <w:szCs w:val="16"/>
              </w:rPr>
              <w:t xml:space="preserve">Bs 100.000</w:t>
            </w:r>
          </w:p>
        </w:tc>
        <w:tc>
          <w:tcPr>
            <w:tcW w:type="dxa" w:w="2360"/>
            <w:tcBorders>
              <w:top w:val="single" w:color="AAAAAA" w:sz="1"/>
              <w:left w:val="single" w:color="AAAAAA" w:sz="1"/>
              <w:bottom w:val="single" w:color="AAAAAA" w:sz="1"/>
              <w:right w:val="single" w:color="AAAAAA" w:sz="1"/>
            </w:tcBorders>
            <w:shd w:fill="E3F2FD" w:val="clear"/>
            <w:tcMar>
              <w:top w:type="dxa" w:w="50"/>
              <w:left w:type="dxa" w:w="80"/>
              <w:bottom w:type="dxa" w:w="50"/>
              <w:right w:type="dxa" w:w="80"/>
            </w:tcMar>
            <w:vAlign w:val="center"/>
          </w:tcPr>
          <w:p>
            <w:pPr>
              <w:spacing w:after="120" w:line="276"/>
            </w:pPr>
            <w:r>
              <w:rPr>
                <w:rFonts w:ascii="Arial" w:cs="Arial" w:eastAsia="Arial" w:hAnsi="Arial"/>
                <w:b w:val="false"/>
                <w:bCs w:val="false"/>
                <w:color w:val="1565C0"/>
                <w:sz w:val="16"/>
                <w:szCs w:val="16"/>
              </w:rPr>
              <w:t xml:space="preserve">Bs 150.000</w:t>
            </w:r>
          </w:p>
        </w:tc>
      </w:tr>
      <w:tr>
        <w:tc>
          <w:tcPr>
            <w:tcW w:type="dxa" w:w="2800"/>
            <w:tcBorders>
              <w:top w:val="single" w:color="AAAAAA" w:sz="1"/>
              <w:left w:val="single" w:color="AAAAAA" w:sz="1"/>
              <w:bottom w:val="single" w:color="AAAAAA" w:sz="1"/>
              <w:right w:val="single" w:color="AAAAAA" w:sz="1"/>
            </w:tcBorders>
            <w:shd w:fill="1565C0" w:val="clear"/>
            <w:tcMar>
              <w:top w:type="dxa" w:w="50"/>
              <w:left w:type="dxa" w:w="80"/>
              <w:bottom w:type="dxa" w:w="50"/>
              <w:right w:type="dxa" w:w="80"/>
            </w:tcMar>
            <w:vAlign w:val="center"/>
          </w:tcPr>
          <w:p>
            <w:pPr>
              <w:spacing w:after="120" w:line="276"/>
            </w:pPr>
            <w:r>
              <w:rPr>
                <w:rFonts w:ascii="Arial" w:cs="Arial" w:eastAsia="Arial" w:hAnsi="Arial"/>
                <w:b/>
                <w:bCs/>
                <w:color w:val="FFFFFF"/>
                <w:sz w:val="16"/>
                <w:szCs w:val="16"/>
              </w:rPr>
              <w:t xml:space="preserve">INGRESO TOTAL</w:t>
            </w:r>
          </w:p>
        </w:tc>
        <w:tc>
          <w:tcPr>
            <w:tcW w:type="dxa" w:w="2000"/>
            <w:tcBorders>
              <w:top w:val="single" w:color="AAAAAA" w:sz="1"/>
              <w:left w:val="single" w:color="AAAAAA" w:sz="1"/>
              <w:bottom w:val="single" w:color="AAAAAA" w:sz="1"/>
              <w:right w:val="single" w:color="AAAAAA" w:sz="1"/>
            </w:tcBorders>
            <w:shd w:fill="1565C0" w:val="clear"/>
            <w:tcMar>
              <w:top w:type="dxa" w:w="50"/>
              <w:left w:type="dxa" w:w="80"/>
              <w:bottom w:type="dxa" w:w="50"/>
              <w:right w:type="dxa" w:w="80"/>
            </w:tcMar>
            <w:vAlign w:val="center"/>
          </w:tcPr>
          <w:p>
            <w:pPr>
              <w:spacing w:after="120" w:line="276"/>
            </w:pPr>
            <w:r>
              <w:rPr>
                <w:rFonts w:ascii="Arial" w:cs="Arial" w:eastAsia="Arial" w:hAnsi="Arial"/>
                <w:b/>
                <w:bCs/>
                <w:color w:val="FFFFFF"/>
                <w:sz w:val="16"/>
                <w:szCs w:val="16"/>
              </w:rPr>
              <w:t xml:space="preserve">Bs 800.000</w:t>
            </w:r>
          </w:p>
        </w:tc>
        <w:tc>
          <w:tcPr>
            <w:tcW w:type="dxa" w:w="2200"/>
            <w:tcBorders>
              <w:top w:val="single" w:color="AAAAAA" w:sz="1"/>
              <w:left w:val="single" w:color="AAAAAA" w:sz="1"/>
              <w:bottom w:val="single" w:color="AAAAAA" w:sz="1"/>
              <w:right w:val="single" w:color="AAAAAA" w:sz="1"/>
            </w:tcBorders>
            <w:shd w:fill="1565C0" w:val="clear"/>
            <w:tcMar>
              <w:top w:type="dxa" w:w="50"/>
              <w:left w:type="dxa" w:w="80"/>
              <w:bottom w:type="dxa" w:w="50"/>
              <w:right w:type="dxa" w:w="80"/>
            </w:tcMar>
            <w:vAlign w:val="center"/>
          </w:tcPr>
          <w:p>
            <w:pPr>
              <w:spacing w:after="120" w:line="276"/>
            </w:pPr>
            <w:r>
              <w:rPr>
                <w:rFonts w:ascii="Arial" w:cs="Arial" w:eastAsia="Arial" w:hAnsi="Arial"/>
                <w:b/>
                <w:bCs/>
                <w:color w:val="FFFFFF"/>
                <w:sz w:val="16"/>
                <w:szCs w:val="16"/>
              </w:rPr>
              <w:t xml:space="preserve">Bs 1.350.000</w:t>
            </w:r>
          </w:p>
        </w:tc>
        <w:tc>
          <w:tcPr>
            <w:tcW w:type="dxa" w:w="2360"/>
            <w:tcBorders>
              <w:top w:val="single" w:color="AAAAAA" w:sz="1"/>
              <w:left w:val="single" w:color="AAAAAA" w:sz="1"/>
              <w:bottom w:val="single" w:color="AAAAAA" w:sz="1"/>
              <w:right w:val="single" w:color="AAAAAA" w:sz="1"/>
            </w:tcBorders>
            <w:shd w:fill="1565C0" w:val="clear"/>
            <w:tcMar>
              <w:top w:type="dxa" w:w="50"/>
              <w:left w:type="dxa" w:w="80"/>
              <w:bottom w:type="dxa" w:w="50"/>
              <w:right w:type="dxa" w:w="80"/>
            </w:tcMar>
            <w:vAlign w:val="center"/>
          </w:tcPr>
          <w:p>
            <w:pPr>
              <w:spacing w:after="120" w:line="276"/>
            </w:pPr>
            <w:r>
              <w:rPr>
                <w:rFonts w:ascii="Arial" w:cs="Arial" w:eastAsia="Arial" w:hAnsi="Arial"/>
                <w:b/>
                <w:bCs/>
                <w:color w:val="FFFFFF"/>
                <w:sz w:val="16"/>
                <w:szCs w:val="16"/>
              </w:rPr>
              <w:t xml:space="preserve">Bs 2.025.000</w:t>
            </w:r>
          </w:p>
        </w:tc>
      </w:tr>
      <w:tr>
        <w:tc>
          <w:tcPr>
            <w:tcW w:type="dxa" w:w="2800"/>
            <w:tcBorders>
              <w:top w:val="single" w:color="AAAAAA" w:sz="1"/>
              <w:left w:val="single" w:color="AAAAAA" w:sz="1"/>
              <w:bottom w:val="single" w:color="AAAAAA" w:sz="1"/>
              <w:right w:val="single" w:color="AAAAAA" w:sz="1"/>
            </w:tcBorders>
            <w:shd w:fill="E3F2FD" w:val="clear"/>
            <w:tcMar>
              <w:top w:type="dxa" w:w="50"/>
              <w:left w:type="dxa" w:w="80"/>
              <w:bottom w:type="dxa" w:w="50"/>
              <w:right w:type="dxa" w:w="80"/>
            </w:tcMar>
            <w:vAlign w:val="center"/>
          </w:tcPr>
          <w:p>
            <w:pPr>
              <w:spacing w:after="120" w:line="276"/>
            </w:pPr>
            <w:r>
              <w:rPr>
                <w:rFonts w:ascii="Arial" w:cs="Arial" w:eastAsia="Arial" w:hAnsi="Arial"/>
                <w:b w:val="false"/>
                <w:bCs w:val="false"/>
                <w:color w:val="333333"/>
                <w:sz w:val="16"/>
                <w:szCs w:val="16"/>
              </w:rPr>
              <w:t xml:space="preserve">Costos variables</w:t>
            </w:r>
          </w:p>
        </w:tc>
        <w:tc>
          <w:tcPr>
            <w:tcW w:type="dxa" w:w="2000"/>
            <w:tcBorders>
              <w:top w:val="single" w:color="AAAAAA" w:sz="1"/>
              <w:left w:val="single" w:color="AAAAAA" w:sz="1"/>
              <w:bottom w:val="single" w:color="AAAAAA" w:sz="1"/>
              <w:right w:val="single" w:color="AAAAAA" w:sz="1"/>
            </w:tcBorders>
            <w:shd w:fill="E3F2FD" w:val="clear"/>
            <w:tcMar>
              <w:top w:type="dxa" w:w="50"/>
              <w:left w:type="dxa" w:w="80"/>
              <w:bottom w:type="dxa" w:w="50"/>
              <w:right w:type="dxa" w:w="80"/>
            </w:tcMar>
            <w:vAlign w:val="center"/>
          </w:tcPr>
          <w:p>
            <w:pPr>
              <w:spacing w:after="120" w:line="276"/>
            </w:pPr>
            <w:r>
              <w:rPr>
                <w:rFonts w:ascii="Arial" w:cs="Arial" w:eastAsia="Arial" w:hAnsi="Arial"/>
                <w:b w:val="false"/>
                <w:bCs w:val="false"/>
                <w:color w:val="1565C0"/>
                <w:sz w:val="16"/>
                <w:szCs w:val="16"/>
              </w:rPr>
              <w:t xml:space="preserve">Bs 199.800</w:t>
            </w:r>
          </w:p>
        </w:tc>
        <w:tc>
          <w:tcPr>
            <w:tcW w:type="dxa" w:w="2200"/>
            <w:tcBorders>
              <w:top w:val="single" w:color="AAAAAA" w:sz="1"/>
              <w:left w:val="single" w:color="AAAAAA" w:sz="1"/>
              <w:bottom w:val="single" w:color="AAAAAA" w:sz="1"/>
              <w:right w:val="single" w:color="AAAAAA" w:sz="1"/>
            </w:tcBorders>
            <w:shd w:fill="E3F2FD" w:val="clear"/>
            <w:tcMar>
              <w:top w:type="dxa" w:w="50"/>
              <w:left w:type="dxa" w:w="80"/>
              <w:bottom w:type="dxa" w:w="50"/>
              <w:right w:type="dxa" w:w="80"/>
            </w:tcMar>
            <w:vAlign w:val="center"/>
          </w:tcPr>
          <w:p>
            <w:pPr>
              <w:spacing w:after="120" w:line="276"/>
            </w:pPr>
            <w:r>
              <w:rPr>
                <w:rFonts w:ascii="Arial" w:cs="Arial" w:eastAsia="Arial" w:hAnsi="Arial"/>
                <w:b w:val="false"/>
                <w:bCs w:val="false"/>
                <w:color w:val="1565C0"/>
                <w:sz w:val="16"/>
                <w:szCs w:val="16"/>
              </w:rPr>
              <w:t xml:space="preserve">Bs 333.000</w:t>
            </w:r>
          </w:p>
        </w:tc>
        <w:tc>
          <w:tcPr>
            <w:tcW w:type="dxa" w:w="2360"/>
            <w:tcBorders>
              <w:top w:val="single" w:color="AAAAAA" w:sz="1"/>
              <w:left w:val="single" w:color="AAAAAA" w:sz="1"/>
              <w:bottom w:val="single" w:color="AAAAAA" w:sz="1"/>
              <w:right w:val="single" w:color="AAAAAA" w:sz="1"/>
            </w:tcBorders>
            <w:shd w:fill="E3F2FD" w:val="clear"/>
            <w:tcMar>
              <w:top w:type="dxa" w:w="50"/>
              <w:left w:type="dxa" w:w="80"/>
              <w:bottom w:type="dxa" w:w="50"/>
              <w:right w:type="dxa" w:w="80"/>
            </w:tcMar>
            <w:vAlign w:val="center"/>
          </w:tcPr>
          <w:p>
            <w:pPr>
              <w:spacing w:after="120" w:line="276"/>
            </w:pPr>
            <w:r>
              <w:rPr>
                <w:rFonts w:ascii="Arial" w:cs="Arial" w:eastAsia="Arial" w:hAnsi="Arial"/>
                <w:b w:val="false"/>
                <w:bCs w:val="false"/>
                <w:color w:val="1565C0"/>
                <w:sz w:val="16"/>
                <w:szCs w:val="16"/>
              </w:rPr>
              <w:t xml:space="preserve">Bs 499.500</w:t>
            </w:r>
          </w:p>
        </w:tc>
      </w:tr>
      <w:tr>
        <w:tc>
          <w:tcPr>
            <w:tcW w:type="dxa" w:w="28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20" w:line="276"/>
            </w:pPr>
            <w:r>
              <w:rPr>
                <w:rFonts w:ascii="Arial" w:cs="Arial" w:eastAsia="Arial" w:hAnsi="Arial"/>
                <w:b w:val="false"/>
                <w:bCs w:val="false"/>
                <w:color w:val="333333"/>
                <w:sz w:val="16"/>
                <w:szCs w:val="16"/>
              </w:rPr>
              <w:t xml:space="preserve">Costos fijos</w:t>
            </w:r>
          </w:p>
        </w:tc>
        <w:tc>
          <w:tcPr>
            <w:tcW w:type="dxa" w:w="20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20" w:line="276"/>
            </w:pPr>
            <w:r>
              <w:rPr>
                <w:rFonts w:ascii="Arial" w:cs="Arial" w:eastAsia="Arial" w:hAnsi="Arial"/>
                <w:b w:val="false"/>
                <w:bCs w:val="false"/>
                <w:color w:val="1565C0"/>
                <w:sz w:val="16"/>
                <w:szCs w:val="16"/>
              </w:rPr>
              <w:t xml:space="preserve">Bs 352.800</w:t>
            </w:r>
          </w:p>
        </w:tc>
        <w:tc>
          <w:tcPr>
            <w:tcW w:type="dxa" w:w="22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20" w:line="276"/>
            </w:pPr>
            <w:r>
              <w:rPr>
                <w:rFonts w:ascii="Arial" w:cs="Arial" w:eastAsia="Arial" w:hAnsi="Arial"/>
                <w:b w:val="false"/>
                <w:bCs w:val="false"/>
                <w:color w:val="1565C0"/>
                <w:sz w:val="16"/>
                <w:szCs w:val="16"/>
              </w:rPr>
              <w:t xml:space="preserve">Bs 400.000</w:t>
            </w:r>
          </w:p>
        </w:tc>
        <w:tc>
          <w:tcPr>
            <w:tcW w:type="dxa" w:w="236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20" w:line="276"/>
            </w:pPr>
            <w:r>
              <w:rPr>
                <w:rFonts w:ascii="Arial" w:cs="Arial" w:eastAsia="Arial" w:hAnsi="Arial"/>
                <w:b w:val="false"/>
                <w:bCs w:val="false"/>
                <w:color w:val="1565C0"/>
                <w:sz w:val="16"/>
                <w:szCs w:val="16"/>
              </w:rPr>
              <w:t xml:space="preserve">Bs 470.000</w:t>
            </w:r>
          </w:p>
        </w:tc>
      </w:tr>
      <w:tr>
        <w:tc>
          <w:tcPr>
            <w:tcW w:type="dxa" w:w="2800"/>
            <w:tcBorders>
              <w:top w:val="single" w:color="AAAAAA" w:sz="1"/>
              <w:left w:val="single" w:color="AAAAAA" w:sz="1"/>
              <w:bottom w:val="single" w:color="AAAAAA" w:sz="1"/>
              <w:right w:val="single" w:color="AAAAAA" w:sz="1"/>
            </w:tcBorders>
            <w:shd w:fill="1565C0" w:val="clear"/>
            <w:tcMar>
              <w:top w:type="dxa" w:w="50"/>
              <w:left w:type="dxa" w:w="80"/>
              <w:bottom w:type="dxa" w:w="50"/>
              <w:right w:type="dxa" w:w="80"/>
            </w:tcMar>
            <w:vAlign w:val="center"/>
          </w:tcPr>
          <w:p>
            <w:pPr>
              <w:spacing w:after="120" w:line="276"/>
            </w:pPr>
            <w:r>
              <w:rPr>
                <w:rFonts w:ascii="Arial" w:cs="Arial" w:eastAsia="Arial" w:hAnsi="Arial"/>
                <w:b/>
                <w:bCs/>
                <w:color w:val="FFFFFF"/>
                <w:sz w:val="16"/>
                <w:szCs w:val="16"/>
              </w:rPr>
              <w:t xml:space="preserve">COSTO TOTAL</w:t>
            </w:r>
          </w:p>
        </w:tc>
        <w:tc>
          <w:tcPr>
            <w:tcW w:type="dxa" w:w="2000"/>
            <w:tcBorders>
              <w:top w:val="single" w:color="AAAAAA" w:sz="1"/>
              <w:left w:val="single" w:color="AAAAAA" w:sz="1"/>
              <w:bottom w:val="single" w:color="AAAAAA" w:sz="1"/>
              <w:right w:val="single" w:color="AAAAAA" w:sz="1"/>
            </w:tcBorders>
            <w:shd w:fill="1565C0" w:val="clear"/>
            <w:tcMar>
              <w:top w:type="dxa" w:w="50"/>
              <w:left w:type="dxa" w:w="80"/>
              <w:bottom w:type="dxa" w:w="50"/>
              <w:right w:type="dxa" w:w="80"/>
            </w:tcMar>
            <w:vAlign w:val="center"/>
          </w:tcPr>
          <w:p>
            <w:pPr>
              <w:spacing w:after="120" w:line="276"/>
            </w:pPr>
            <w:r>
              <w:rPr>
                <w:rFonts w:ascii="Arial" w:cs="Arial" w:eastAsia="Arial" w:hAnsi="Arial"/>
                <w:b/>
                <w:bCs/>
                <w:color w:val="FFFFFF"/>
                <w:sz w:val="16"/>
                <w:szCs w:val="16"/>
              </w:rPr>
              <w:t xml:space="preserve">Bs 552.600</w:t>
            </w:r>
          </w:p>
        </w:tc>
        <w:tc>
          <w:tcPr>
            <w:tcW w:type="dxa" w:w="2200"/>
            <w:tcBorders>
              <w:top w:val="single" w:color="AAAAAA" w:sz="1"/>
              <w:left w:val="single" w:color="AAAAAA" w:sz="1"/>
              <w:bottom w:val="single" w:color="AAAAAA" w:sz="1"/>
              <w:right w:val="single" w:color="AAAAAA" w:sz="1"/>
            </w:tcBorders>
            <w:shd w:fill="1565C0" w:val="clear"/>
            <w:tcMar>
              <w:top w:type="dxa" w:w="50"/>
              <w:left w:type="dxa" w:w="80"/>
              <w:bottom w:type="dxa" w:w="50"/>
              <w:right w:type="dxa" w:w="80"/>
            </w:tcMar>
            <w:vAlign w:val="center"/>
          </w:tcPr>
          <w:p>
            <w:pPr>
              <w:spacing w:after="120" w:line="276"/>
            </w:pPr>
            <w:r>
              <w:rPr>
                <w:rFonts w:ascii="Arial" w:cs="Arial" w:eastAsia="Arial" w:hAnsi="Arial"/>
                <w:b/>
                <w:bCs/>
                <w:color w:val="FFFFFF"/>
                <w:sz w:val="16"/>
                <w:szCs w:val="16"/>
              </w:rPr>
              <w:t xml:space="preserve">Bs 733.000</w:t>
            </w:r>
          </w:p>
        </w:tc>
        <w:tc>
          <w:tcPr>
            <w:tcW w:type="dxa" w:w="2360"/>
            <w:tcBorders>
              <w:top w:val="single" w:color="AAAAAA" w:sz="1"/>
              <w:left w:val="single" w:color="AAAAAA" w:sz="1"/>
              <w:bottom w:val="single" w:color="AAAAAA" w:sz="1"/>
              <w:right w:val="single" w:color="AAAAAA" w:sz="1"/>
            </w:tcBorders>
            <w:shd w:fill="1565C0" w:val="clear"/>
            <w:tcMar>
              <w:top w:type="dxa" w:w="50"/>
              <w:left w:type="dxa" w:w="80"/>
              <w:bottom w:type="dxa" w:w="50"/>
              <w:right w:type="dxa" w:w="80"/>
            </w:tcMar>
            <w:vAlign w:val="center"/>
          </w:tcPr>
          <w:p>
            <w:pPr>
              <w:spacing w:after="120" w:line="276"/>
            </w:pPr>
            <w:r>
              <w:rPr>
                <w:rFonts w:ascii="Arial" w:cs="Arial" w:eastAsia="Arial" w:hAnsi="Arial"/>
                <w:b/>
                <w:bCs/>
                <w:color w:val="FFFFFF"/>
                <w:sz w:val="16"/>
                <w:szCs w:val="16"/>
              </w:rPr>
              <w:t xml:space="preserve">Bs 969.500</w:t>
            </w:r>
          </w:p>
        </w:tc>
      </w:tr>
      <w:tr>
        <w:tc>
          <w:tcPr>
            <w:tcW w:type="dxa" w:w="2800"/>
            <w:tcBorders>
              <w:top w:val="single" w:color="AAAAAA" w:sz="1"/>
              <w:left w:val="single" w:color="AAAAAA" w:sz="1"/>
              <w:bottom w:val="single" w:color="AAAAAA" w:sz="1"/>
              <w:right w:val="single" w:color="AAAAAA" w:sz="1"/>
            </w:tcBorders>
            <w:shd w:fill="2E7D32" w:val="clear"/>
            <w:tcMar>
              <w:top w:type="dxa" w:w="50"/>
              <w:left w:type="dxa" w:w="80"/>
              <w:bottom w:type="dxa" w:w="50"/>
              <w:right w:type="dxa" w:w="80"/>
            </w:tcMar>
            <w:vAlign w:val="center"/>
          </w:tcPr>
          <w:p>
            <w:pPr>
              <w:spacing w:after="120" w:line="276"/>
            </w:pPr>
            <w:r>
              <w:rPr>
                <w:rFonts w:ascii="Arial" w:cs="Arial" w:eastAsia="Arial" w:hAnsi="Arial"/>
                <w:b/>
                <w:bCs/>
                <w:color w:val="FFFFFF"/>
                <w:sz w:val="16"/>
                <w:szCs w:val="16"/>
              </w:rPr>
              <w:t xml:space="preserve">UTILIDAD BRUTA</w:t>
            </w:r>
          </w:p>
        </w:tc>
        <w:tc>
          <w:tcPr>
            <w:tcW w:type="dxa" w:w="2000"/>
            <w:tcBorders>
              <w:top w:val="single" w:color="AAAAAA" w:sz="1"/>
              <w:left w:val="single" w:color="AAAAAA" w:sz="1"/>
              <w:bottom w:val="single" w:color="AAAAAA" w:sz="1"/>
              <w:right w:val="single" w:color="AAAAAA" w:sz="1"/>
            </w:tcBorders>
            <w:shd w:fill="2E7D32" w:val="clear"/>
            <w:tcMar>
              <w:top w:type="dxa" w:w="50"/>
              <w:left w:type="dxa" w:w="80"/>
              <w:bottom w:type="dxa" w:w="50"/>
              <w:right w:type="dxa" w:w="80"/>
            </w:tcMar>
            <w:vAlign w:val="center"/>
          </w:tcPr>
          <w:p>
            <w:pPr>
              <w:spacing w:after="120" w:line="276"/>
            </w:pPr>
            <w:r>
              <w:rPr>
                <w:rFonts w:ascii="Arial" w:cs="Arial" w:eastAsia="Arial" w:hAnsi="Arial"/>
                <w:b/>
                <w:bCs/>
                <w:color w:val="FFFFFF"/>
                <w:sz w:val="16"/>
                <w:szCs w:val="16"/>
              </w:rPr>
              <w:t xml:space="preserve">Bs 247.400</w:t>
            </w:r>
          </w:p>
        </w:tc>
        <w:tc>
          <w:tcPr>
            <w:tcW w:type="dxa" w:w="2200"/>
            <w:tcBorders>
              <w:top w:val="single" w:color="AAAAAA" w:sz="1"/>
              <w:left w:val="single" w:color="AAAAAA" w:sz="1"/>
              <w:bottom w:val="single" w:color="AAAAAA" w:sz="1"/>
              <w:right w:val="single" w:color="AAAAAA" w:sz="1"/>
            </w:tcBorders>
            <w:shd w:fill="2E7D32" w:val="clear"/>
            <w:tcMar>
              <w:top w:type="dxa" w:w="50"/>
              <w:left w:type="dxa" w:w="80"/>
              <w:bottom w:type="dxa" w:w="50"/>
              <w:right w:type="dxa" w:w="80"/>
            </w:tcMar>
            <w:vAlign w:val="center"/>
          </w:tcPr>
          <w:p>
            <w:pPr>
              <w:spacing w:after="120" w:line="276"/>
            </w:pPr>
            <w:r>
              <w:rPr>
                <w:rFonts w:ascii="Arial" w:cs="Arial" w:eastAsia="Arial" w:hAnsi="Arial"/>
                <w:b/>
                <w:bCs/>
                <w:color w:val="FFFFFF"/>
                <w:sz w:val="16"/>
                <w:szCs w:val="16"/>
              </w:rPr>
              <w:t xml:space="preserve">Bs 617.000</w:t>
            </w:r>
          </w:p>
        </w:tc>
        <w:tc>
          <w:tcPr>
            <w:tcW w:type="dxa" w:w="2360"/>
            <w:tcBorders>
              <w:top w:val="single" w:color="AAAAAA" w:sz="1"/>
              <w:left w:val="single" w:color="AAAAAA" w:sz="1"/>
              <w:bottom w:val="single" w:color="AAAAAA" w:sz="1"/>
              <w:right w:val="single" w:color="AAAAAA" w:sz="1"/>
            </w:tcBorders>
            <w:shd w:fill="2E7D32" w:val="clear"/>
            <w:tcMar>
              <w:top w:type="dxa" w:w="50"/>
              <w:left w:type="dxa" w:w="80"/>
              <w:bottom w:type="dxa" w:w="50"/>
              <w:right w:type="dxa" w:w="80"/>
            </w:tcMar>
            <w:vAlign w:val="center"/>
          </w:tcPr>
          <w:p>
            <w:pPr>
              <w:spacing w:after="120" w:line="276"/>
            </w:pPr>
            <w:r>
              <w:rPr>
                <w:rFonts w:ascii="Arial" w:cs="Arial" w:eastAsia="Arial" w:hAnsi="Arial"/>
                <w:b/>
                <w:bCs/>
                <w:color w:val="FFFFFF"/>
                <w:sz w:val="16"/>
                <w:szCs w:val="16"/>
              </w:rPr>
              <w:t xml:space="preserve">Bs 1.055.500</w:t>
            </w:r>
          </w:p>
        </w:tc>
      </w:tr>
      <w:tr>
        <w:tc>
          <w:tcPr>
            <w:tcW w:type="dxa" w:w="2800"/>
            <w:tcBorders>
              <w:top w:val="single" w:color="AAAAAA" w:sz="1"/>
              <w:left w:val="single" w:color="AAAAAA" w:sz="1"/>
              <w:bottom w:val="single" w:color="AAAAAA" w:sz="1"/>
              <w:right w:val="single" w:color="AAAAAA" w:sz="1"/>
            </w:tcBorders>
            <w:shd w:fill="E3F2FD" w:val="clear"/>
            <w:tcMar>
              <w:top w:type="dxa" w:w="50"/>
              <w:left w:type="dxa" w:w="80"/>
              <w:bottom w:type="dxa" w:w="50"/>
              <w:right w:type="dxa" w:w="80"/>
            </w:tcMar>
            <w:vAlign w:val="center"/>
          </w:tcPr>
          <w:p>
            <w:pPr>
              <w:spacing w:after="120" w:line="276"/>
            </w:pPr>
            <w:r>
              <w:rPr>
                <w:rFonts w:ascii="Arial" w:cs="Arial" w:eastAsia="Arial" w:hAnsi="Arial"/>
                <w:b w:val="false"/>
                <w:bCs w:val="false"/>
                <w:color w:val="333333"/>
                <w:sz w:val="16"/>
                <w:szCs w:val="16"/>
              </w:rPr>
              <w:t xml:space="preserve">Impuestos (IUE 25%)</w:t>
            </w:r>
          </w:p>
        </w:tc>
        <w:tc>
          <w:tcPr>
            <w:tcW w:type="dxa" w:w="2000"/>
            <w:tcBorders>
              <w:top w:val="single" w:color="AAAAAA" w:sz="1"/>
              <w:left w:val="single" w:color="AAAAAA" w:sz="1"/>
              <w:bottom w:val="single" w:color="AAAAAA" w:sz="1"/>
              <w:right w:val="single" w:color="AAAAAA" w:sz="1"/>
            </w:tcBorders>
            <w:shd w:fill="E3F2FD" w:val="clear"/>
            <w:tcMar>
              <w:top w:type="dxa" w:w="50"/>
              <w:left w:type="dxa" w:w="80"/>
              <w:bottom w:type="dxa" w:w="50"/>
              <w:right w:type="dxa" w:w="80"/>
            </w:tcMar>
            <w:vAlign w:val="center"/>
          </w:tcPr>
          <w:p>
            <w:pPr>
              <w:spacing w:after="120" w:line="276"/>
            </w:pPr>
            <w:r>
              <w:rPr>
                <w:rFonts w:ascii="Arial" w:cs="Arial" w:eastAsia="Arial" w:hAnsi="Arial"/>
                <w:b w:val="false"/>
                <w:bCs w:val="false"/>
                <w:color w:val="1565C0"/>
                <w:sz w:val="16"/>
                <w:szCs w:val="16"/>
              </w:rPr>
              <w:t xml:space="preserve">Bs 61.850</w:t>
            </w:r>
          </w:p>
        </w:tc>
        <w:tc>
          <w:tcPr>
            <w:tcW w:type="dxa" w:w="2200"/>
            <w:tcBorders>
              <w:top w:val="single" w:color="AAAAAA" w:sz="1"/>
              <w:left w:val="single" w:color="AAAAAA" w:sz="1"/>
              <w:bottom w:val="single" w:color="AAAAAA" w:sz="1"/>
              <w:right w:val="single" w:color="AAAAAA" w:sz="1"/>
            </w:tcBorders>
            <w:shd w:fill="E3F2FD" w:val="clear"/>
            <w:tcMar>
              <w:top w:type="dxa" w:w="50"/>
              <w:left w:type="dxa" w:w="80"/>
              <w:bottom w:type="dxa" w:w="50"/>
              <w:right w:type="dxa" w:w="80"/>
            </w:tcMar>
            <w:vAlign w:val="center"/>
          </w:tcPr>
          <w:p>
            <w:pPr>
              <w:spacing w:after="120" w:line="276"/>
            </w:pPr>
            <w:r>
              <w:rPr>
                <w:rFonts w:ascii="Arial" w:cs="Arial" w:eastAsia="Arial" w:hAnsi="Arial"/>
                <w:b w:val="false"/>
                <w:bCs w:val="false"/>
                <w:color w:val="1565C0"/>
                <w:sz w:val="16"/>
                <w:szCs w:val="16"/>
              </w:rPr>
              <w:t xml:space="preserve">Bs 154.250</w:t>
            </w:r>
          </w:p>
        </w:tc>
        <w:tc>
          <w:tcPr>
            <w:tcW w:type="dxa" w:w="2360"/>
            <w:tcBorders>
              <w:top w:val="single" w:color="AAAAAA" w:sz="1"/>
              <w:left w:val="single" w:color="AAAAAA" w:sz="1"/>
              <w:bottom w:val="single" w:color="AAAAAA" w:sz="1"/>
              <w:right w:val="single" w:color="AAAAAA" w:sz="1"/>
            </w:tcBorders>
            <w:shd w:fill="E3F2FD" w:val="clear"/>
            <w:tcMar>
              <w:top w:type="dxa" w:w="50"/>
              <w:left w:type="dxa" w:w="80"/>
              <w:bottom w:type="dxa" w:w="50"/>
              <w:right w:type="dxa" w:w="80"/>
            </w:tcMar>
            <w:vAlign w:val="center"/>
          </w:tcPr>
          <w:p>
            <w:pPr>
              <w:spacing w:after="120" w:line="276"/>
            </w:pPr>
            <w:r>
              <w:rPr>
                <w:rFonts w:ascii="Arial" w:cs="Arial" w:eastAsia="Arial" w:hAnsi="Arial"/>
                <w:b w:val="false"/>
                <w:bCs w:val="false"/>
                <w:color w:val="1565C0"/>
                <w:sz w:val="16"/>
                <w:szCs w:val="16"/>
              </w:rPr>
              <w:t xml:space="preserve">Bs 263.875</w:t>
            </w:r>
          </w:p>
        </w:tc>
      </w:tr>
      <w:tr>
        <w:tc>
          <w:tcPr>
            <w:tcW w:type="dxa" w:w="2800"/>
            <w:tcBorders>
              <w:top w:val="single" w:color="AAAAAA" w:sz="1"/>
              <w:left w:val="single" w:color="AAAAAA" w:sz="1"/>
              <w:bottom w:val="single" w:color="AAAAAA" w:sz="1"/>
              <w:right w:val="single" w:color="AAAAAA" w:sz="1"/>
            </w:tcBorders>
            <w:shd w:fill="1B5E20" w:val="clear"/>
            <w:tcMar>
              <w:top w:type="dxa" w:w="50"/>
              <w:left w:type="dxa" w:w="80"/>
              <w:bottom w:type="dxa" w:w="50"/>
              <w:right w:type="dxa" w:w="80"/>
            </w:tcMar>
            <w:vAlign w:val="center"/>
          </w:tcPr>
          <w:p>
            <w:pPr>
              <w:spacing w:after="120" w:line="276"/>
            </w:pPr>
            <w:r>
              <w:rPr>
                <w:rFonts w:ascii="Arial" w:cs="Arial" w:eastAsia="Arial" w:hAnsi="Arial"/>
                <w:b/>
                <w:bCs/>
                <w:color w:val="FFFFFF"/>
                <w:sz w:val="16"/>
                <w:szCs w:val="16"/>
              </w:rPr>
              <w:t xml:space="preserve">UTILIDAD NETA</w:t>
            </w:r>
          </w:p>
        </w:tc>
        <w:tc>
          <w:tcPr>
            <w:tcW w:type="dxa" w:w="2000"/>
            <w:tcBorders>
              <w:top w:val="single" w:color="AAAAAA" w:sz="1"/>
              <w:left w:val="single" w:color="AAAAAA" w:sz="1"/>
              <w:bottom w:val="single" w:color="AAAAAA" w:sz="1"/>
              <w:right w:val="single" w:color="AAAAAA" w:sz="1"/>
            </w:tcBorders>
            <w:shd w:fill="1B5E20" w:val="clear"/>
            <w:tcMar>
              <w:top w:type="dxa" w:w="50"/>
              <w:left w:type="dxa" w:w="80"/>
              <w:bottom w:type="dxa" w:w="50"/>
              <w:right w:type="dxa" w:w="80"/>
            </w:tcMar>
            <w:vAlign w:val="center"/>
          </w:tcPr>
          <w:p>
            <w:pPr>
              <w:spacing w:after="120" w:line="276"/>
            </w:pPr>
            <w:r>
              <w:rPr>
                <w:rFonts w:ascii="Arial" w:cs="Arial" w:eastAsia="Arial" w:hAnsi="Arial"/>
                <w:b/>
                <w:bCs/>
                <w:color w:val="FFFFFF"/>
                <w:sz w:val="16"/>
                <w:szCs w:val="16"/>
              </w:rPr>
              <w:t xml:space="preserve">Bs 185.550</w:t>
            </w:r>
          </w:p>
        </w:tc>
        <w:tc>
          <w:tcPr>
            <w:tcW w:type="dxa" w:w="2200"/>
            <w:tcBorders>
              <w:top w:val="single" w:color="AAAAAA" w:sz="1"/>
              <w:left w:val="single" w:color="AAAAAA" w:sz="1"/>
              <w:bottom w:val="single" w:color="AAAAAA" w:sz="1"/>
              <w:right w:val="single" w:color="AAAAAA" w:sz="1"/>
            </w:tcBorders>
            <w:shd w:fill="1B5E20" w:val="clear"/>
            <w:tcMar>
              <w:top w:type="dxa" w:w="50"/>
              <w:left w:type="dxa" w:w="80"/>
              <w:bottom w:type="dxa" w:w="50"/>
              <w:right w:type="dxa" w:w="80"/>
            </w:tcMar>
            <w:vAlign w:val="center"/>
          </w:tcPr>
          <w:p>
            <w:pPr>
              <w:spacing w:after="120" w:line="276"/>
            </w:pPr>
            <w:r>
              <w:rPr>
                <w:rFonts w:ascii="Arial" w:cs="Arial" w:eastAsia="Arial" w:hAnsi="Arial"/>
                <w:b/>
                <w:bCs/>
                <w:color w:val="FFFFFF"/>
                <w:sz w:val="16"/>
                <w:szCs w:val="16"/>
              </w:rPr>
              <w:t xml:space="preserve">Bs 462.750</w:t>
            </w:r>
          </w:p>
        </w:tc>
        <w:tc>
          <w:tcPr>
            <w:tcW w:type="dxa" w:w="2360"/>
            <w:tcBorders>
              <w:top w:val="single" w:color="AAAAAA" w:sz="1"/>
              <w:left w:val="single" w:color="AAAAAA" w:sz="1"/>
              <w:bottom w:val="single" w:color="AAAAAA" w:sz="1"/>
              <w:right w:val="single" w:color="AAAAAA" w:sz="1"/>
            </w:tcBorders>
            <w:shd w:fill="1B5E20" w:val="clear"/>
            <w:tcMar>
              <w:top w:type="dxa" w:w="50"/>
              <w:left w:type="dxa" w:w="80"/>
              <w:bottom w:type="dxa" w:w="50"/>
              <w:right w:type="dxa" w:w="80"/>
            </w:tcMar>
            <w:vAlign w:val="center"/>
          </w:tcPr>
          <w:p>
            <w:pPr>
              <w:spacing w:after="120" w:line="276"/>
            </w:pPr>
            <w:r>
              <w:rPr>
                <w:rFonts w:ascii="Arial" w:cs="Arial" w:eastAsia="Arial" w:hAnsi="Arial"/>
                <w:b/>
                <w:bCs/>
                <w:color w:val="FFFFFF"/>
                <w:sz w:val="16"/>
                <w:szCs w:val="16"/>
              </w:rPr>
              <w:t xml:space="preserve">Bs 791.625</w:t>
            </w:r>
          </w:p>
        </w:tc>
      </w:tr>
    </w:tbl>
    <w:p>
      <w:pPr>
        <w:spacing w:after="80"/>
      </w:pPr>
      <w:r>
        <w:rPr>
          <w:rFonts w:ascii="Arial" w:cs="Arial" w:eastAsia="Arial" w:hAnsi="Arial"/>
          <w:color w:val="333333"/>
          <w:sz w:val="24"/>
          <w:szCs w:val="24"/>
        </w:rPr>
        <w:t xml:space="preserve"/>
      </w:r>
    </w:p>
    <w:p>
      <w:pPr>
        <w:pStyle w:val="Heading3"/>
        <w:spacing w:before="160" w:after="120"/>
      </w:pPr>
      <w:r>
        <w:rPr>
          <w:rFonts w:ascii="Arial" w:cs="Arial" w:eastAsia="Arial" w:hAnsi="Arial"/>
          <w:b/>
          <w:bCs/>
          <w:color w:val="E65100"/>
          <w:sz w:val="24"/>
          <w:szCs w:val="24"/>
        </w:rPr>
        <w:t xml:space="preserve">5.7 Estado de resultado proyectado (Año 1)</w:t>
      </w:r>
    </w:p>
    <w:p>
      <w:pPr>
        <w:spacing w:after="140" w:line="300"/>
      </w:pPr>
      <w:r>
        <w:rPr>
          <w:rFonts w:ascii="Arial" w:cs="Arial" w:eastAsia="Arial" w:hAnsi="Arial"/>
          <w:color w:val="333333"/>
          <w:sz w:val="24"/>
          <w:szCs w:val="24"/>
        </w:rPr>
        <w:t xml:space="preserve">Ingresos operacionales: Bs 800.000. (-) Costo de ventas: Bs 199.800. (=) Utilidad bruta: Bs 600.200 (75% margen bruto). (-) Gastos operacionales: Bs 352.800. (=) Utilidad operacional: Bs 247.400 (30,9% margen operacional). (-) IUE (25%): Bs 61.850. (=) Utilidad neta: Bs 185.550 ($26.660 USD). Margen neto: 23,2%.</w:t>
      </w:r>
    </w:p>
    <w:p>
      <w:pPr>
        <w:pStyle w:val="Heading3"/>
        <w:spacing w:before="160" w:after="120"/>
      </w:pPr>
      <w:r>
        <w:rPr>
          <w:rFonts w:ascii="Arial" w:cs="Arial" w:eastAsia="Arial" w:hAnsi="Arial"/>
          <w:b/>
          <w:bCs/>
          <w:color w:val="E65100"/>
          <w:sz w:val="24"/>
          <w:szCs w:val="24"/>
        </w:rPr>
        <w:t xml:space="preserve">5.8 Indicadores financieros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AAAAAA" w:sz="1"/>
              <w:left w:val="single" w:color="AAAAAA" w:sz="1"/>
              <w:bottom w:val="single" w:color="AAAAAA" w:sz="1"/>
              <w:right w:val="single" w:color="AAAAAA" w:sz="1"/>
            </w:tcBorders>
            <w:shd w:fill="1B5E20" w:val="clear"/>
            <w:tcMar>
              <w:top w:type="dxa" w:w="50"/>
              <w:left w:type="dxa" w:w="80"/>
              <w:bottom w:type="dxa" w:w="50"/>
              <w:right w:type="dxa" w:w="80"/>
            </w:tcMar>
            <w:vAlign w:val="center"/>
          </w:tcPr>
          <w:p>
            <w:pPr>
              <w:spacing w:after="120" w:line="276"/>
            </w:pPr>
            <w:r>
              <w:rPr>
                <w:rFonts w:ascii="Arial" w:cs="Arial" w:eastAsia="Arial" w:hAnsi="Arial"/>
                <w:b/>
                <w:bCs/>
                <w:color w:val="FFFFFF"/>
                <w:sz w:val="18"/>
                <w:szCs w:val="18"/>
              </w:rPr>
              <w:t xml:space="preserve">Indicador</w:t>
            </w:r>
          </w:p>
        </w:tc>
        <w:tc>
          <w:tcPr>
            <w:tcW w:type="dxa" w:w="2400"/>
            <w:tcBorders>
              <w:top w:val="single" w:color="AAAAAA" w:sz="1"/>
              <w:left w:val="single" w:color="AAAAAA" w:sz="1"/>
              <w:bottom w:val="single" w:color="AAAAAA" w:sz="1"/>
              <w:right w:val="single" w:color="AAAAAA" w:sz="1"/>
            </w:tcBorders>
            <w:shd w:fill="1B5E20" w:val="clear"/>
            <w:tcMar>
              <w:top w:type="dxa" w:w="50"/>
              <w:left w:type="dxa" w:w="80"/>
              <w:bottom w:type="dxa" w:w="50"/>
              <w:right w:type="dxa" w:w="80"/>
            </w:tcMar>
            <w:vAlign w:val="center"/>
          </w:tcPr>
          <w:p>
            <w:pPr>
              <w:spacing w:after="120" w:line="276"/>
            </w:pPr>
            <w:r>
              <w:rPr>
                <w:rFonts w:ascii="Arial" w:cs="Arial" w:eastAsia="Arial" w:hAnsi="Arial"/>
                <w:b/>
                <w:bCs/>
                <w:color w:val="FFFFFF"/>
                <w:sz w:val="18"/>
                <w:szCs w:val="18"/>
              </w:rPr>
              <w:t xml:space="preserve">Valor</w:t>
            </w:r>
          </w:p>
        </w:tc>
        <w:tc>
          <w:tcPr>
            <w:tcW w:type="dxa" w:w="4160"/>
            <w:tcBorders>
              <w:top w:val="single" w:color="AAAAAA" w:sz="1"/>
              <w:left w:val="single" w:color="AAAAAA" w:sz="1"/>
              <w:bottom w:val="single" w:color="AAAAAA" w:sz="1"/>
              <w:right w:val="single" w:color="AAAAAA" w:sz="1"/>
            </w:tcBorders>
            <w:shd w:fill="1B5E20" w:val="clear"/>
            <w:tcMar>
              <w:top w:type="dxa" w:w="50"/>
              <w:left w:type="dxa" w:w="80"/>
              <w:bottom w:type="dxa" w:w="50"/>
              <w:right w:type="dxa" w:w="80"/>
            </w:tcMar>
            <w:vAlign w:val="center"/>
          </w:tcPr>
          <w:p>
            <w:pPr>
              <w:spacing w:after="120" w:line="276"/>
            </w:pPr>
            <w:r>
              <w:rPr>
                <w:rFonts w:ascii="Arial" w:cs="Arial" w:eastAsia="Arial" w:hAnsi="Arial"/>
                <w:b/>
                <w:bCs/>
                <w:color w:val="FFFFFF"/>
                <w:sz w:val="18"/>
                <w:szCs w:val="18"/>
              </w:rPr>
              <w:t xml:space="preserve">Interpretación</w:t>
            </w:r>
          </w:p>
        </w:tc>
      </w:tr>
      <w:tr>
        <w:tc>
          <w:tcPr>
            <w:tcW w:type="dxa" w:w="2800"/>
            <w:tcBorders>
              <w:top w:val="single" w:color="AAAAAA" w:sz="1"/>
              <w:left w:val="single" w:color="AAAAAA" w:sz="1"/>
              <w:bottom w:val="single" w:color="AAAAAA" w:sz="1"/>
              <w:right w:val="single" w:color="AAAAAA" w:sz="1"/>
            </w:tcBorders>
            <w:shd w:fill="E8F5E9" w:val="clear"/>
            <w:tcMar>
              <w:top w:type="dxa" w:w="50"/>
              <w:left w:type="dxa" w:w="80"/>
              <w:bottom w:type="dxa" w:w="50"/>
              <w:right w:type="dxa" w:w="80"/>
            </w:tcMar>
            <w:vAlign w:val="center"/>
          </w:tcPr>
          <w:p>
            <w:pPr>
              <w:spacing w:after="120" w:line="276"/>
            </w:pPr>
            <w:r>
              <w:rPr>
                <w:rFonts w:ascii="Arial" w:cs="Arial" w:eastAsia="Arial" w:hAnsi="Arial"/>
                <w:b/>
                <w:bCs/>
                <w:color w:val="333333"/>
                <w:sz w:val="18"/>
                <w:szCs w:val="18"/>
              </w:rPr>
              <w:t xml:space="preserve">TIR (Tasa Interna de Retorno)</w:t>
            </w:r>
          </w:p>
        </w:tc>
        <w:tc>
          <w:tcPr>
            <w:tcW w:type="dxa" w:w="2400"/>
            <w:tcBorders>
              <w:top w:val="single" w:color="AAAAAA" w:sz="1"/>
              <w:left w:val="single" w:color="AAAAAA" w:sz="1"/>
              <w:bottom w:val="single" w:color="AAAAAA" w:sz="1"/>
              <w:right w:val="single" w:color="AAAAAA" w:sz="1"/>
            </w:tcBorders>
            <w:shd w:fill="E8F5E9" w:val="clear"/>
            <w:tcMar>
              <w:top w:type="dxa" w:w="50"/>
              <w:left w:type="dxa" w:w="80"/>
              <w:bottom w:type="dxa" w:w="50"/>
              <w:right w:type="dxa" w:w="80"/>
            </w:tcMar>
            <w:vAlign w:val="center"/>
          </w:tcPr>
          <w:p>
            <w:pPr>
              <w:spacing w:after="120" w:line="276"/>
            </w:pPr>
            <w:r>
              <w:rPr>
                <w:rFonts w:ascii="Arial" w:cs="Arial" w:eastAsia="Arial" w:hAnsi="Arial"/>
                <w:b/>
                <w:bCs/>
                <w:color w:val="1B5E20"/>
                <w:sz w:val="18"/>
                <w:szCs w:val="18"/>
              </w:rPr>
              <w:t xml:space="preserve">40-55%</w:t>
            </w:r>
          </w:p>
        </w:tc>
        <w:tc>
          <w:tcPr>
            <w:tcW w:type="dxa" w:w="4160"/>
            <w:tcBorders>
              <w:top w:val="single" w:color="AAAAAA" w:sz="1"/>
              <w:left w:val="single" w:color="AAAAAA" w:sz="1"/>
              <w:bottom w:val="single" w:color="AAAAAA" w:sz="1"/>
              <w:right w:val="single" w:color="AAAAAA" w:sz="1"/>
            </w:tcBorders>
            <w:shd w:fill="E8F5E9" w:val="clear"/>
            <w:tcMar>
              <w:top w:type="dxa" w:w="50"/>
              <w:left w:type="dxa" w:w="80"/>
              <w:bottom w:type="dxa" w:w="50"/>
              <w:right w:type="dxa" w:w="80"/>
            </w:tcMar>
            <w:vAlign w:val="center"/>
          </w:tcPr>
          <w:p>
            <w:pPr>
              <w:spacing w:after="120" w:line="276"/>
            </w:pPr>
            <w:r>
              <w:rPr>
                <w:rFonts w:ascii="Arial" w:cs="Arial" w:eastAsia="Arial" w:hAnsi="Arial"/>
                <w:color w:val="333333"/>
                <w:sz w:val="18"/>
                <w:szCs w:val="18"/>
              </w:rPr>
              <w:t xml:space="preserve">Muy superior a tasa de descuento Bolivia (12%)</w:t>
            </w:r>
          </w:p>
        </w:tc>
      </w:tr>
      <w:tr>
        <w:tc>
          <w:tcPr>
            <w:tcW w:type="dxa" w:w="28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20" w:line="276"/>
            </w:pPr>
            <w:r>
              <w:rPr>
                <w:rFonts w:ascii="Arial" w:cs="Arial" w:eastAsia="Arial" w:hAnsi="Arial"/>
                <w:b/>
                <w:bCs/>
                <w:color w:val="333333"/>
                <w:sz w:val="18"/>
                <w:szCs w:val="18"/>
              </w:rPr>
              <w:t xml:space="preserve">VAN (3 años, tasa 12%)</w:t>
            </w:r>
          </w:p>
        </w:tc>
        <w:tc>
          <w:tcPr>
            <w:tcW w:type="dxa" w:w="24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20" w:line="276"/>
            </w:pPr>
            <w:r>
              <w:rPr>
                <w:rFonts w:ascii="Arial" w:cs="Arial" w:eastAsia="Arial" w:hAnsi="Arial"/>
                <w:b/>
                <w:bCs/>
                <w:color w:val="1B5E20"/>
                <w:sz w:val="18"/>
                <w:szCs w:val="18"/>
              </w:rPr>
              <w:t xml:space="preserve">$25.000-45.000 USD</w:t>
            </w:r>
          </w:p>
        </w:tc>
        <w:tc>
          <w:tcPr>
            <w:tcW w:type="dxa" w:w="416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20" w:line="276"/>
            </w:pPr>
            <w:r>
              <w:rPr>
                <w:rFonts w:ascii="Arial" w:cs="Arial" w:eastAsia="Arial" w:hAnsi="Arial"/>
                <w:color w:val="333333"/>
                <w:sz w:val="18"/>
                <w:szCs w:val="18"/>
              </w:rPr>
              <w:t xml:space="preserve">Positivo confirma viabilidad</w:t>
            </w:r>
          </w:p>
        </w:tc>
      </w:tr>
      <w:tr>
        <w:tc>
          <w:tcPr>
            <w:tcW w:type="dxa" w:w="2800"/>
            <w:tcBorders>
              <w:top w:val="single" w:color="AAAAAA" w:sz="1"/>
              <w:left w:val="single" w:color="AAAAAA" w:sz="1"/>
              <w:bottom w:val="single" w:color="AAAAAA" w:sz="1"/>
              <w:right w:val="single" w:color="AAAAAA" w:sz="1"/>
            </w:tcBorders>
            <w:shd w:fill="E8F5E9" w:val="clear"/>
            <w:tcMar>
              <w:top w:type="dxa" w:w="50"/>
              <w:left w:type="dxa" w:w="80"/>
              <w:bottom w:type="dxa" w:w="50"/>
              <w:right w:type="dxa" w:w="80"/>
            </w:tcMar>
            <w:vAlign w:val="center"/>
          </w:tcPr>
          <w:p>
            <w:pPr>
              <w:spacing w:after="120" w:line="276"/>
            </w:pPr>
            <w:r>
              <w:rPr>
                <w:rFonts w:ascii="Arial" w:cs="Arial" w:eastAsia="Arial" w:hAnsi="Arial"/>
                <w:b/>
                <w:bCs/>
                <w:color w:val="333333"/>
                <w:sz w:val="18"/>
                <w:szCs w:val="18"/>
              </w:rPr>
              <w:t xml:space="preserve">Payback</w:t>
            </w:r>
          </w:p>
        </w:tc>
        <w:tc>
          <w:tcPr>
            <w:tcW w:type="dxa" w:w="2400"/>
            <w:tcBorders>
              <w:top w:val="single" w:color="AAAAAA" w:sz="1"/>
              <w:left w:val="single" w:color="AAAAAA" w:sz="1"/>
              <w:bottom w:val="single" w:color="AAAAAA" w:sz="1"/>
              <w:right w:val="single" w:color="AAAAAA" w:sz="1"/>
            </w:tcBorders>
            <w:shd w:fill="E8F5E9" w:val="clear"/>
            <w:tcMar>
              <w:top w:type="dxa" w:w="50"/>
              <w:left w:type="dxa" w:w="80"/>
              <w:bottom w:type="dxa" w:w="50"/>
              <w:right w:type="dxa" w:w="80"/>
            </w:tcMar>
            <w:vAlign w:val="center"/>
          </w:tcPr>
          <w:p>
            <w:pPr>
              <w:spacing w:after="120" w:line="276"/>
            </w:pPr>
            <w:r>
              <w:rPr>
                <w:rFonts w:ascii="Arial" w:cs="Arial" w:eastAsia="Arial" w:hAnsi="Arial"/>
                <w:b/>
                <w:bCs/>
                <w:color w:val="1B5E20"/>
                <w:sz w:val="18"/>
                <w:szCs w:val="18"/>
              </w:rPr>
              <w:t xml:space="preserve">14-18 meses</w:t>
            </w:r>
          </w:p>
        </w:tc>
        <w:tc>
          <w:tcPr>
            <w:tcW w:type="dxa" w:w="4160"/>
            <w:tcBorders>
              <w:top w:val="single" w:color="AAAAAA" w:sz="1"/>
              <w:left w:val="single" w:color="AAAAAA" w:sz="1"/>
              <w:bottom w:val="single" w:color="AAAAAA" w:sz="1"/>
              <w:right w:val="single" w:color="AAAAAA" w:sz="1"/>
            </w:tcBorders>
            <w:shd w:fill="E8F5E9" w:val="clear"/>
            <w:tcMar>
              <w:top w:type="dxa" w:w="50"/>
              <w:left w:type="dxa" w:w="80"/>
              <w:bottom w:type="dxa" w:w="50"/>
              <w:right w:type="dxa" w:w="80"/>
            </w:tcMar>
            <w:vAlign w:val="center"/>
          </w:tcPr>
          <w:p>
            <w:pPr>
              <w:spacing w:after="120" w:line="276"/>
            </w:pPr>
            <w:r>
              <w:rPr>
                <w:rFonts w:ascii="Arial" w:cs="Arial" w:eastAsia="Arial" w:hAnsi="Arial"/>
                <w:color w:val="333333"/>
                <w:sz w:val="18"/>
                <w:szCs w:val="18"/>
              </w:rPr>
              <w:t xml:space="preserve">Recuperación rápida de inversión</w:t>
            </w:r>
          </w:p>
        </w:tc>
      </w:tr>
      <w:tr>
        <w:tc>
          <w:tcPr>
            <w:tcW w:type="dxa" w:w="28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20" w:line="276"/>
            </w:pPr>
            <w:r>
              <w:rPr>
                <w:rFonts w:ascii="Arial" w:cs="Arial" w:eastAsia="Arial" w:hAnsi="Arial"/>
                <w:b/>
                <w:bCs/>
                <w:color w:val="333333"/>
                <w:sz w:val="18"/>
                <w:szCs w:val="18"/>
              </w:rPr>
              <w:t xml:space="preserve">Margen bruto</w:t>
            </w:r>
          </w:p>
        </w:tc>
        <w:tc>
          <w:tcPr>
            <w:tcW w:type="dxa" w:w="24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20" w:line="276"/>
            </w:pPr>
            <w:r>
              <w:rPr>
                <w:rFonts w:ascii="Arial" w:cs="Arial" w:eastAsia="Arial" w:hAnsi="Arial"/>
                <w:b/>
                <w:bCs/>
                <w:color w:val="1B5E20"/>
                <w:sz w:val="18"/>
                <w:szCs w:val="18"/>
              </w:rPr>
              <w:t xml:space="preserve">55-65%</w:t>
            </w:r>
          </w:p>
        </w:tc>
        <w:tc>
          <w:tcPr>
            <w:tcW w:type="dxa" w:w="416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20" w:line="276"/>
            </w:pPr>
            <w:r>
              <w:rPr>
                <w:rFonts w:ascii="Arial" w:cs="Arial" w:eastAsia="Arial" w:hAnsi="Arial"/>
                <w:color w:val="333333"/>
                <w:sz w:val="18"/>
                <w:szCs w:val="18"/>
              </w:rPr>
              <w:t xml:space="preserve">Gracias a MP gratuita (residuos)</w:t>
            </w:r>
          </w:p>
        </w:tc>
      </w:tr>
      <w:tr>
        <w:tc>
          <w:tcPr>
            <w:tcW w:type="dxa" w:w="2800"/>
            <w:tcBorders>
              <w:top w:val="single" w:color="AAAAAA" w:sz="1"/>
              <w:left w:val="single" w:color="AAAAAA" w:sz="1"/>
              <w:bottom w:val="single" w:color="AAAAAA" w:sz="1"/>
              <w:right w:val="single" w:color="AAAAAA" w:sz="1"/>
            </w:tcBorders>
            <w:shd w:fill="E8F5E9" w:val="clear"/>
            <w:tcMar>
              <w:top w:type="dxa" w:w="50"/>
              <w:left w:type="dxa" w:w="80"/>
              <w:bottom w:type="dxa" w:w="50"/>
              <w:right w:type="dxa" w:w="80"/>
            </w:tcMar>
            <w:vAlign w:val="center"/>
          </w:tcPr>
          <w:p>
            <w:pPr>
              <w:spacing w:after="120" w:line="276"/>
            </w:pPr>
            <w:r>
              <w:rPr>
                <w:rFonts w:ascii="Arial" w:cs="Arial" w:eastAsia="Arial" w:hAnsi="Arial"/>
                <w:b/>
                <w:bCs/>
                <w:color w:val="333333"/>
                <w:sz w:val="18"/>
                <w:szCs w:val="18"/>
              </w:rPr>
              <w:t xml:space="preserve">Margen neto (año 1)</w:t>
            </w:r>
          </w:p>
        </w:tc>
        <w:tc>
          <w:tcPr>
            <w:tcW w:type="dxa" w:w="2400"/>
            <w:tcBorders>
              <w:top w:val="single" w:color="AAAAAA" w:sz="1"/>
              <w:left w:val="single" w:color="AAAAAA" w:sz="1"/>
              <w:bottom w:val="single" w:color="AAAAAA" w:sz="1"/>
              <w:right w:val="single" w:color="AAAAAA" w:sz="1"/>
            </w:tcBorders>
            <w:shd w:fill="E8F5E9" w:val="clear"/>
            <w:tcMar>
              <w:top w:type="dxa" w:w="50"/>
              <w:left w:type="dxa" w:w="80"/>
              <w:bottom w:type="dxa" w:w="50"/>
              <w:right w:type="dxa" w:w="80"/>
            </w:tcMar>
            <w:vAlign w:val="center"/>
          </w:tcPr>
          <w:p>
            <w:pPr>
              <w:spacing w:after="120" w:line="276"/>
            </w:pPr>
            <w:r>
              <w:rPr>
                <w:rFonts w:ascii="Arial" w:cs="Arial" w:eastAsia="Arial" w:hAnsi="Arial"/>
                <w:b/>
                <w:bCs/>
                <w:color w:val="1B5E20"/>
                <w:sz w:val="18"/>
                <w:szCs w:val="18"/>
              </w:rPr>
              <w:t xml:space="preserve">23,2%</w:t>
            </w:r>
          </w:p>
        </w:tc>
        <w:tc>
          <w:tcPr>
            <w:tcW w:type="dxa" w:w="4160"/>
            <w:tcBorders>
              <w:top w:val="single" w:color="AAAAAA" w:sz="1"/>
              <w:left w:val="single" w:color="AAAAAA" w:sz="1"/>
              <w:bottom w:val="single" w:color="AAAAAA" w:sz="1"/>
              <w:right w:val="single" w:color="AAAAAA" w:sz="1"/>
            </w:tcBorders>
            <w:shd w:fill="E8F5E9" w:val="clear"/>
            <w:tcMar>
              <w:top w:type="dxa" w:w="50"/>
              <w:left w:type="dxa" w:w="80"/>
              <w:bottom w:type="dxa" w:w="50"/>
              <w:right w:type="dxa" w:w="80"/>
            </w:tcMar>
            <w:vAlign w:val="center"/>
          </w:tcPr>
          <w:p>
            <w:pPr>
              <w:spacing w:after="120" w:line="276"/>
            </w:pPr>
            <w:r>
              <w:rPr>
                <w:rFonts w:ascii="Arial" w:cs="Arial" w:eastAsia="Arial" w:hAnsi="Arial"/>
                <w:color w:val="333333"/>
                <w:sz w:val="18"/>
                <w:szCs w:val="18"/>
              </w:rPr>
              <w:t xml:space="preserve">Bs 185.550 utilidad neta</w:t>
            </w:r>
          </w:p>
        </w:tc>
      </w:tr>
      <w:tr>
        <w:tc>
          <w:tcPr>
            <w:tcW w:type="dxa" w:w="28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20" w:line="276"/>
            </w:pPr>
            <w:r>
              <w:rPr>
                <w:rFonts w:ascii="Arial" w:cs="Arial" w:eastAsia="Arial" w:hAnsi="Arial"/>
                <w:b/>
                <w:bCs/>
                <w:color w:val="333333"/>
                <w:sz w:val="18"/>
                <w:szCs w:val="18"/>
              </w:rPr>
              <w:t xml:space="preserve">Punto de equilibrio</w:t>
            </w:r>
          </w:p>
        </w:tc>
        <w:tc>
          <w:tcPr>
            <w:tcW w:type="dxa" w:w="24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20" w:line="276"/>
            </w:pPr>
            <w:r>
              <w:rPr>
                <w:rFonts w:ascii="Arial" w:cs="Arial" w:eastAsia="Arial" w:hAnsi="Arial"/>
                <w:b/>
                <w:bCs/>
                <w:color w:val="1B5E20"/>
                <w:sz w:val="18"/>
                <w:szCs w:val="18"/>
              </w:rPr>
              <w:t xml:space="preserve">~400 bloques/mes</w:t>
            </w:r>
          </w:p>
        </w:tc>
        <w:tc>
          <w:tcPr>
            <w:tcW w:type="dxa" w:w="416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20" w:line="276"/>
            </w:pPr>
            <w:r>
              <w:rPr>
                <w:rFonts w:ascii="Arial" w:cs="Arial" w:eastAsia="Arial" w:hAnsi="Arial"/>
                <w:color w:val="333333"/>
                <w:sz w:val="18"/>
                <w:szCs w:val="18"/>
              </w:rPr>
              <w:t xml:space="preserve">Bs 50.000/mes en ventas</w:t>
            </w:r>
          </w:p>
        </w:tc>
      </w:tr>
      <w:tr>
        <w:tc>
          <w:tcPr>
            <w:tcW w:type="dxa" w:w="2800"/>
            <w:tcBorders>
              <w:top w:val="single" w:color="AAAAAA" w:sz="1"/>
              <w:left w:val="single" w:color="AAAAAA" w:sz="1"/>
              <w:bottom w:val="single" w:color="AAAAAA" w:sz="1"/>
              <w:right w:val="single" w:color="AAAAAA" w:sz="1"/>
            </w:tcBorders>
            <w:shd w:fill="E8F5E9" w:val="clear"/>
            <w:tcMar>
              <w:top w:type="dxa" w:w="50"/>
              <w:left w:type="dxa" w:w="80"/>
              <w:bottom w:type="dxa" w:w="50"/>
              <w:right w:type="dxa" w:w="80"/>
            </w:tcMar>
            <w:vAlign w:val="center"/>
          </w:tcPr>
          <w:p>
            <w:pPr>
              <w:spacing w:after="120" w:line="276"/>
            </w:pPr>
            <w:r>
              <w:rPr>
                <w:rFonts w:ascii="Arial" w:cs="Arial" w:eastAsia="Arial" w:hAnsi="Arial"/>
                <w:b/>
                <w:bCs/>
                <w:color w:val="333333"/>
                <w:sz w:val="18"/>
                <w:szCs w:val="18"/>
              </w:rPr>
              <w:t xml:space="preserve">ROI (año 1)</w:t>
            </w:r>
          </w:p>
        </w:tc>
        <w:tc>
          <w:tcPr>
            <w:tcW w:type="dxa" w:w="2400"/>
            <w:tcBorders>
              <w:top w:val="single" w:color="AAAAAA" w:sz="1"/>
              <w:left w:val="single" w:color="AAAAAA" w:sz="1"/>
              <w:bottom w:val="single" w:color="AAAAAA" w:sz="1"/>
              <w:right w:val="single" w:color="AAAAAA" w:sz="1"/>
            </w:tcBorders>
            <w:shd w:fill="E8F5E9" w:val="clear"/>
            <w:tcMar>
              <w:top w:type="dxa" w:w="50"/>
              <w:left w:type="dxa" w:w="80"/>
              <w:bottom w:type="dxa" w:w="50"/>
              <w:right w:type="dxa" w:w="80"/>
            </w:tcMar>
            <w:vAlign w:val="center"/>
          </w:tcPr>
          <w:p>
            <w:pPr>
              <w:spacing w:after="120" w:line="276"/>
            </w:pPr>
            <w:r>
              <w:rPr>
                <w:rFonts w:ascii="Arial" w:cs="Arial" w:eastAsia="Arial" w:hAnsi="Arial"/>
                <w:b/>
                <w:bCs/>
                <w:color w:val="1B5E20"/>
                <w:sz w:val="18"/>
                <w:szCs w:val="18"/>
              </w:rPr>
              <w:t xml:space="preserve">72-90%</w:t>
            </w:r>
          </w:p>
        </w:tc>
        <w:tc>
          <w:tcPr>
            <w:tcW w:type="dxa" w:w="4160"/>
            <w:tcBorders>
              <w:top w:val="single" w:color="AAAAAA" w:sz="1"/>
              <w:left w:val="single" w:color="AAAAAA" w:sz="1"/>
              <w:bottom w:val="single" w:color="AAAAAA" w:sz="1"/>
              <w:right w:val="single" w:color="AAAAAA" w:sz="1"/>
            </w:tcBorders>
            <w:shd w:fill="E8F5E9" w:val="clear"/>
            <w:tcMar>
              <w:top w:type="dxa" w:w="50"/>
              <w:left w:type="dxa" w:w="80"/>
              <w:bottom w:type="dxa" w:w="50"/>
              <w:right w:type="dxa" w:w="80"/>
            </w:tcMar>
            <w:vAlign w:val="center"/>
          </w:tcPr>
          <w:p>
            <w:pPr>
              <w:spacing w:after="120" w:line="276"/>
            </w:pPr>
            <w:r>
              <w:rPr>
                <w:rFonts w:ascii="Arial" w:cs="Arial" w:eastAsia="Arial" w:hAnsi="Arial"/>
                <w:color w:val="333333"/>
                <w:sz w:val="18"/>
                <w:szCs w:val="18"/>
              </w:rPr>
              <w:t xml:space="preserve">Utilidad neta / inversión total</w:t>
            </w:r>
          </w:p>
        </w:tc>
      </w:tr>
      <w:tr>
        <w:tc>
          <w:tcPr>
            <w:tcW w:type="dxa" w:w="28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20" w:line="276"/>
            </w:pPr>
            <w:r>
              <w:rPr>
                <w:rFonts w:ascii="Arial" w:cs="Arial" w:eastAsia="Arial" w:hAnsi="Arial"/>
                <w:b/>
                <w:bCs/>
                <w:color w:val="333333"/>
                <w:sz w:val="18"/>
                <w:szCs w:val="18"/>
              </w:rPr>
              <w:t xml:space="preserve">Empleos directos</w:t>
            </w:r>
          </w:p>
        </w:tc>
        <w:tc>
          <w:tcPr>
            <w:tcW w:type="dxa" w:w="24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20" w:line="276"/>
            </w:pPr>
            <w:r>
              <w:rPr>
                <w:rFonts w:ascii="Arial" w:cs="Arial" w:eastAsia="Arial" w:hAnsi="Arial"/>
                <w:b/>
                <w:bCs/>
                <w:color w:val="1B5E20"/>
                <w:sz w:val="18"/>
                <w:szCs w:val="18"/>
              </w:rPr>
              <w:t xml:space="preserve">8-15 personas</w:t>
            </w:r>
          </w:p>
        </w:tc>
        <w:tc>
          <w:tcPr>
            <w:tcW w:type="dxa" w:w="416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20" w:line="276"/>
            </w:pPr>
            <w:r>
              <w:rPr>
                <w:rFonts w:ascii="Arial" w:cs="Arial" w:eastAsia="Arial" w:hAnsi="Arial"/>
                <w:color w:val="333333"/>
                <w:sz w:val="18"/>
                <w:szCs w:val="18"/>
              </w:rPr>
              <w:t xml:space="preserve">Formales con CNS y AFP</w:t>
            </w:r>
          </w:p>
        </w:tc>
      </w:tr>
    </w:tbl>
    <w:p>
      <w:r>
        <w:br w:type="page"/>
      </w:r>
    </w:p>
    <w:p>
      <w:pPr>
        <w:pStyle w:val="Heading1"/>
        <w:spacing w:before="240" w:after="200"/>
      </w:pPr>
      <w:r>
        <w:rPr>
          <w:rFonts w:ascii="Arial" w:cs="Arial" w:eastAsia="Arial" w:hAnsi="Arial"/>
          <w:b/>
          <w:bCs/>
          <w:color w:val="1B5E20"/>
          <w:sz w:val="28"/>
          <w:szCs w:val="28"/>
        </w:rPr>
        <w:t xml:space="preserve">4. DISCUSIÓN</w:t>
      </w:r>
    </w:p>
    <w:p>
      <w:pPr>
        <w:spacing w:after="140" w:line="300"/>
      </w:pPr>
      <w:r>
        <w:rPr>
          <w:rFonts w:ascii="Arial" w:cs="Arial" w:eastAsia="Arial" w:hAnsi="Arial"/>
          <w:color w:val="333333"/>
          <w:sz w:val="24"/>
          <w:szCs w:val="24"/>
        </w:rPr>
        <w:t xml:space="preserve">Los resultados obtenidos confirman la viabilidad técnica, económica y ambiental de NutriCiclo SCZ como modelo de emprendimiento circular aplicado al sector pecuario de Santa Cruz. La TIR estimada de 40-55% supera ampliamente la tasa de descuento de referencia en Bolivia (12%), lo que indica que el proyecto genera valor económico real. El margen bruto de 55-65% se explica por la estructura única de costos donde el 74% de la materia prima es residuo industrial gratuito, una ventaja competitiva difícilmente replicable por competidores que dependan de insumos comerciales.</w:t>
      </w:r>
    </w:p>
    <w:p>
      <w:pPr>
        <w:spacing w:after="140" w:line="300"/>
      </w:pPr>
      <w:r>
        <w:rPr>
          <w:rFonts w:ascii="Arial" w:cs="Arial" w:eastAsia="Arial" w:hAnsi="Arial"/>
          <w:color w:val="333333"/>
          <w:sz w:val="24"/>
          <w:szCs w:val="24"/>
        </w:rPr>
        <w:t xml:space="preserve">En comparación con emprendimientos similares en la región, Bioconversión S.A. (Ecuador) ha demostrado la viabilidad industrial de la cría de BSF con producción de 100 tn/mes de harina de insecto, validando el componente tecnológico más innovador de NutriCiclo. Sin embargo, Bioconversión opera en un modelo de producción de harina como commodity, mientras que NutriCiclo integra la BSF como ingrediente de un producto terminado (BMN) con mayor valor agregado y menor barrera de entrada ($20-35K vs varios millones de USD).</w:t>
      </w:r>
    </w:p>
    <w:p>
      <w:pPr>
        <w:spacing w:after="140" w:line="300"/>
      </w:pPr>
      <w:r>
        <w:rPr>
          <w:rFonts w:ascii="Arial" w:cs="Arial" w:eastAsia="Arial" w:hAnsi="Arial"/>
          <w:color w:val="333333"/>
          <w:sz w:val="24"/>
          <w:szCs w:val="24"/>
        </w:rPr>
        <w:t xml:space="preserve">Los estudios de Corpoica (Colombia), Fedegán y el INIFAP (México) respaldan los beneficios de los BMN convencionales (+420 g/día de peso, +4-5 L/día de leche), pero ninguno ha incorporado proteína de insecto, lo que constituye un hallazgo diferenciador. El ácido láurico presente en la harina BSF (Hermetia illucens) tiene propiedades antimicrobianas documentadas que podrían traducirse en menor incidencia de diarreas y parasitosis en el ganado, aunque esto requiere validación experimental in situ.</w:t>
      </w:r>
    </w:p>
    <w:p>
      <w:pPr>
        <w:spacing w:after="140" w:line="300"/>
      </w:pPr>
      <w:r>
        <w:rPr>
          <w:rFonts w:ascii="Arial" w:cs="Arial" w:eastAsia="Arial" w:hAnsi="Arial"/>
          <w:color w:val="333333"/>
          <w:sz w:val="24"/>
          <w:szCs w:val="24"/>
        </w:rPr>
        <w:t xml:space="preserve">El diagnóstico de las 10 R's de circularidad (40/60 verdes, 67%) revela que las áreas de mejora se concentran en eficiencia energética (dependencia parcial de gas y diésel) e hídrica (falta de sistema cerrado de recirculación de agua). Estas limitaciones son superables con inversiones planificadas en biogás de estiércol y sistemas de captación de agua lluvia, lo que podría elevar el índice de circularidad a 80-90% en el mediano plazo.</w:t>
      </w:r>
    </w:p>
    <w:p>
      <w:pPr>
        <w:spacing w:after="140" w:line="300"/>
      </w:pPr>
      <w:r>
        <w:rPr>
          <w:rFonts w:ascii="Arial" w:cs="Arial" w:eastAsia="Arial" w:hAnsi="Arial"/>
          <w:color w:val="333333"/>
          <w:sz w:val="24"/>
          <w:szCs w:val="24"/>
        </w:rPr>
        <w:t xml:space="preserve">Un resultado inesperado del análisis PESTEL es que la Ley 755 de Gestión Integral de Residuos, lejos de ser un obstáculo, se convierte en el principal motor de demanda del servicio de NutriCiclo: los mataderos necesitan gestionar sus residuos por obligación legal, lo que genera un doble flujo de ingresos (cobro por retiro de residuos + venta de producto terminado) que fortalece la sostenibilidad financiera del modelo.</w:t>
      </w:r>
    </w:p>
    <w:p>
      <w:r>
        <w:br w:type="page"/>
      </w:r>
    </w:p>
    <w:p>
      <w:pPr>
        <w:pStyle w:val="Heading1"/>
        <w:spacing w:before="240" w:after="200"/>
      </w:pPr>
      <w:r>
        <w:rPr>
          <w:rFonts w:ascii="Arial" w:cs="Arial" w:eastAsia="Arial" w:hAnsi="Arial"/>
          <w:b/>
          <w:bCs/>
          <w:color w:val="1B5E20"/>
          <w:sz w:val="28"/>
          <w:szCs w:val="28"/>
        </w:rPr>
        <w:t xml:space="preserve">5. CONCLUSIONES</w:t>
      </w:r>
    </w:p>
    <w:p>
      <w:pPr>
        <w:spacing w:after="140" w:line="300"/>
      </w:pPr>
      <w:r>
        <w:rPr>
          <w:rFonts w:ascii="Arial" w:cs="Arial" w:eastAsia="Arial" w:hAnsi="Arial"/>
          <w:color w:val="333333"/>
          <w:sz w:val="24"/>
          <w:szCs w:val="24"/>
        </w:rPr>
        <w:t xml:space="preserve">NutriCiclo SCZ demuestra que es posible construir un negocio rentable (TIR 40-55%, margen 55-65%, payback 14-18 meses) a partir de residuos que hoy generan contaminación, transformando un problema ambiental en una oportunidad económica y social.</w:t>
      </w:r>
    </w:p>
    <w:p>
      <w:pPr>
        <w:spacing w:after="140" w:line="300"/>
      </w:pPr>
      <w:r>
        <w:rPr>
          <w:rFonts w:ascii="Arial" w:cs="Arial" w:eastAsia="Arial" w:hAnsi="Arial"/>
          <w:color w:val="333333"/>
          <w:sz w:val="24"/>
          <w:szCs w:val="24"/>
        </w:rPr>
        <w:t xml:space="preserve">El proyecto valida la aplicabilidad de la economía circular en el sector pecuario boliviano, con un ciclo cerrado de 10 eslabones que conecta mataderos, ingenios, ganaderos y agricultores en una cadena de valor regenerativa donde no existe el concepto de basura.</w:t>
      </w:r>
    </w:p>
    <w:p>
      <w:pPr>
        <w:spacing w:after="140" w:line="300"/>
      </w:pPr>
      <w:r>
        <w:rPr>
          <w:rFonts w:ascii="Arial" w:cs="Arial" w:eastAsia="Arial" w:hAnsi="Arial"/>
          <w:color w:val="333333"/>
          <w:sz w:val="24"/>
          <w:szCs w:val="24"/>
        </w:rPr>
        <w:t xml:space="preserve">La incorporación de harina de mosca soldado negra (BSF) como ingrediente innovador posiciona a NutriCiclo como pionero en biotecnología aplicada a nutrición animal en Bolivia, abriendo la puerta a una industria de insectos con un mercado global proyectado de $9.500 millones para 2035.</w:t>
      </w:r>
    </w:p>
    <w:p>
      <w:pPr>
        <w:spacing w:after="140" w:line="300"/>
      </w:pPr>
      <w:r>
        <w:rPr>
          <w:rFonts w:ascii="Arial" w:cs="Arial" w:eastAsia="Arial" w:hAnsi="Arial"/>
          <w:color w:val="333333"/>
          <w:sz w:val="24"/>
          <w:szCs w:val="24"/>
        </w:rPr>
        <w:t xml:space="preserve">La integración de tecnología (IoT para monitoreo BSF, plataforma Laravel para trazabilidad, IA para ventas por voz) como ventaja competitiva del fundador (Ing. en Sistemas) constituye un moat tecnológico que diferencia a NutriCiclo de cualquier competidor artesanal.</w:t>
      </w:r>
    </w:p>
    <w:p>
      <w:pPr>
        <w:spacing w:after="140" w:line="300"/>
      </w:pPr>
      <w:r>
        <w:rPr>
          <w:rFonts w:ascii="Arial" w:cs="Arial" w:eastAsia="Arial" w:hAnsi="Arial"/>
          <w:color w:val="333333"/>
          <w:sz w:val="24"/>
          <w:szCs w:val="24"/>
        </w:rPr>
        <w:t xml:space="preserve">Como líneas futuras de investigación se propone: (a) Ensayo clínico controlado con ganado alimentado con BMN+BSF vs BMN convencional para medir el efecto del ácido láurico en salud intestinal. (b) Desarrollo de la plataforma SaaS de trazabilidad como proyecto de tesis de Ingeniería en Sistemas en UPDS. (c) Escalamiento del modelo como franquicia social a Beni, Pando y Chuquisaca. (d) Certificación orgánica del compost y frass BSF.</w:t>
      </w:r>
    </w:p>
    <w:p>
      <w:r>
        <w:br w:type="page"/>
      </w:r>
    </w:p>
    <w:p>
      <w:pPr>
        <w:pStyle w:val="Heading1"/>
        <w:spacing w:before="240" w:after="200"/>
      </w:pPr>
      <w:r>
        <w:rPr>
          <w:rFonts w:ascii="Arial" w:cs="Arial" w:eastAsia="Arial" w:hAnsi="Arial"/>
          <w:b/>
          <w:bCs/>
          <w:color w:val="1B5E20"/>
          <w:sz w:val="28"/>
          <w:szCs w:val="28"/>
        </w:rPr>
        <w:t xml:space="preserve">6. REFERENCIAS</w:t>
      </w:r>
    </w:p>
    <w:p>
      <w:pPr>
        <w:spacing w:after="140" w:line="300"/>
        <w:ind w:left="720" w:hanging="720"/>
      </w:pPr>
      <w:r>
        <w:rPr>
          <w:rFonts w:ascii="Arial" w:cs="Arial" w:eastAsia="Arial" w:hAnsi="Arial"/>
          <w:color w:val="333333"/>
          <w:sz w:val="22"/>
          <w:szCs w:val="22"/>
        </w:rPr>
        <w:t xml:space="preserve">Agrotendencia. (2025). Bloques multinutricionales: elaboración y beneficios para ganado. https://agrotendencia.tv/bloques-multinutricionales</w:t>
      </w:r>
    </w:p>
    <w:p>
      <w:pPr>
        <w:spacing w:after="140" w:line="300"/>
        <w:ind w:left="720" w:hanging="720"/>
      </w:pPr>
      <w:r>
        <w:rPr>
          <w:rFonts w:ascii="Arial" w:cs="Arial" w:eastAsia="Arial" w:hAnsi="Arial"/>
          <w:color w:val="333333"/>
          <w:sz w:val="22"/>
          <w:szCs w:val="22"/>
        </w:rPr>
        <w:t xml:space="preserve">Bioconversión S.A. (2021). Harina de mosca soldado negra para alimentación animal. Bloomberg Línea. https://www.bloomberglinea.com</w:t>
      </w:r>
    </w:p>
    <w:p>
      <w:pPr>
        <w:spacing w:after="140" w:line="300"/>
        <w:ind w:left="720" w:hanging="720"/>
      </w:pPr>
      <w:r>
        <w:rPr>
          <w:rFonts w:ascii="Arial" w:cs="Arial" w:eastAsia="Arial" w:hAnsi="Arial"/>
          <w:color w:val="333333"/>
          <w:sz w:val="22"/>
          <w:szCs w:val="22"/>
        </w:rPr>
        <w:t xml:space="preserve">Business Research Insights. (2025). Black Soldier Fly Market Report 2025-2035. https://www.businessresearchinsights.com/market-reports/black-soldier-fly-market</w:t>
      </w:r>
    </w:p>
    <w:p>
      <w:pPr>
        <w:spacing w:after="140" w:line="300"/>
        <w:ind w:left="720" w:hanging="720"/>
      </w:pPr>
      <w:r>
        <w:rPr>
          <w:rFonts w:ascii="Arial" w:cs="Arial" w:eastAsia="Arial" w:hAnsi="Arial"/>
          <w:color w:val="333333"/>
          <w:sz w:val="22"/>
          <w:szCs w:val="22"/>
        </w:rPr>
        <w:t xml:space="preserve">Contacto Económico. (2022). Guabirá proporcionará melaza y bagazo a FEGASACRUZ. https://contactoeconomico.com</w:t>
      </w:r>
    </w:p>
    <w:p>
      <w:pPr>
        <w:spacing w:after="140" w:line="300"/>
        <w:ind w:left="720" w:hanging="720"/>
      </w:pPr>
      <w:r>
        <w:rPr>
          <w:rFonts w:ascii="Arial" w:cs="Arial" w:eastAsia="Arial" w:hAnsi="Arial"/>
          <w:color w:val="333333"/>
          <w:sz w:val="22"/>
          <w:szCs w:val="22"/>
        </w:rPr>
        <w:t xml:space="preserve">Engormix. (2017). Elaboración de bloques multinutricionales con contenido ruminal. https://www.engormix.com</w:t>
      </w:r>
    </w:p>
    <w:p>
      <w:pPr>
        <w:spacing w:after="140" w:line="300"/>
        <w:ind w:left="720" w:hanging="720"/>
      </w:pPr>
      <w:r>
        <w:rPr>
          <w:rFonts w:ascii="Arial" w:cs="Arial" w:eastAsia="Arial" w:hAnsi="Arial"/>
          <w:color w:val="333333"/>
          <w:sz w:val="22"/>
          <w:szCs w:val="22"/>
        </w:rPr>
        <w:t xml:space="preserve">FEGASACRUZ. (2024). Realidad ganadera en Bolivia y Santa Cruz. https://fegasacruz.org</w:t>
      </w:r>
    </w:p>
    <w:p>
      <w:pPr>
        <w:spacing w:after="140" w:line="300"/>
        <w:ind w:left="720" w:hanging="720"/>
      </w:pPr>
      <w:r>
        <w:rPr>
          <w:rFonts w:ascii="Arial" w:cs="Arial" w:eastAsia="Arial" w:hAnsi="Arial"/>
          <w:color w:val="333333"/>
          <w:sz w:val="22"/>
          <w:szCs w:val="22"/>
        </w:rPr>
        <w:t xml:space="preserve">IBCE. (2021). Santa Cruz consolida su liderazgo ganadero. Instituto Boliviano de Comercio Exterior.</w:t>
      </w:r>
    </w:p>
    <w:p>
      <w:pPr>
        <w:spacing w:after="140" w:line="300"/>
        <w:ind w:left="720" w:hanging="720"/>
      </w:pPr>
      <w:r>
        <w:rPr>
          <w:rFonts w:ascii="Arial" w:cs="Arial" w:eastAsia="Arial" w:hAnsi="Arial"/>
          <w:color w:val="333333"/>
          <w:sz w:val="22"/>
          <w:szCs w:val="22"/>
        </w:rPr>
        <w:t xml:space="preserve">INE Bolivia. (2024). Estadísticas de ganadería y avicultura 2017-2024. https://www.ine.gob.bo</w:t>
      </w:r>
    </w:p>
    <w:p>
      <w:pPr>
        <w:spacing w:after="140" w:line="300"/>
        <w:ind w:left="720" w:hanging="720"/>
      </w:pPr>
      <w:r>
        <w:rPr>
          <w:rFonts w:ascii="Arial" w:cs="Arial" w:eastAsia="Arial" w:hAnsi="Arial"/>
          <w:color w:val="333333"/>
          <w:sz w:val="22"/>
          <w:szCs w:val="22"/>
        </w:rPr>
        <w:t xml:space="preserve">Muñoz Prada, P. M. (2022). Generación y evaluación de ideas de negocios. Universidad Cooperativa de Colombia.</w:t>
      </w:r>
    </w:p>
    <w:p>
      <w:pPr>
        <w:spacing w:after="140" w:line="300"/>
        <w:ind w:left="720" w:hanging="720"/>
      </w:pPr>
      <w:r>
        <w:rPr>
          <w:rFonts w:ascii="Arial" w:cs="Arial" w:eastAsia="Arial" w:hAnsi="Arial"/>
          <w:color w:val="333333"/>
          <w:sz w:val="22"/>
          <w:szCs w:val="22"/>
        </w:rPr>
        <w:t xml:space="preserve">Osterwalder, A., Pigneur, Y., Bernarda, G. y Smith, A. (2014). Value Proposition Design. John Wiley &amp; Sons.</w:t>
      </w:r>
    </w:p>
    <w:p>
      <w:pPr>
        <w:spacing w:after="140" w:line="300"/>
        <w:ind w:left="720" w:hanging="720"/>
      </w:pPr>
      <w:r>
        <w:rPr>
          <w:rFonts w:ascii="Arial" w:cs="Arial" w:eastAsia="Arial" w:hAnsi="Arial"/>
          <w:color w:val="333333"/>
          <w:sz w:val="22"/>
          <w:szCs w:val="22"/>
        </w:rPr>
        <w:t xml:space="preserve">SDSN Bolivia. (2025). Emisiones de GEI por la ganadería en Bolivia. Sustainable Development Solutions Network.</w:t>
      </w:r>
    </w:p>
    <w:p>
      <w:pPr>
        <w:spacing w:after="140" w:line="300"/>
        <w:ind w:left="720" w:hanging="720"/>
      </w:pPr>
      <w:r>
        <w:rPr>
          <w:rFonts w:ascii="Arial" w:cs="Arial" w:eastAsia="Arial" w:hAnsi="Arial"/>
          <w:color w:val="333333"/>
          <w:sz w:val="22"/>
          <w:szCs w:val="22"/>
        </w:rPr>
        <w:t xml:space="preserve">Tobón, S. (2017). Evaluación socioformativa: estrategias e instrumentos. Kresearch.</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Arial" w:cs="Arial" w:eastAsia="Arial" w:hAnsi="Arial"/>
        <w:color w:val="999999"/>
        <w:sz w:val="16"/>
        <w:szCs w:val="16"/>
      </w:rPr>
      <w:t xml:space="preserve">NutriCiclo SCZ — Proyecto Socioformativo · UPDS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00"/>
      <w:outlineLvl w:val="0"/>
    </w:pPr>
    <w:rPr>
      <w:rFonts w:ascii="Arial" w:cs="Arial" w:eastAsia="Arial" w:hAnsi="Arial"/>
      <w:b/>
      <w:bCs/>
      <w:color w:val="1B5E20"/>
      <w:sz w:val="28"/>
      <w:szCs w:val="28"/>
    </w:rPr>
  </w:style>
  <w:style w:type="paragraph" w:styleId="Heading2">
    <w:name w:val="Heading 2"/>
    <w:basedOn w:val="Normal"/>
    <w:next w:val="Normal"/>
    <w:qFormat/>
    <w:pPr>
      <w:spacing w:before="200" w:after="160"/>
      <w:outlineLvl w:val="1"/>
    </w:pPr>
    <w:rPr>
      <w:rFonts w:ascii="Arial" w:cs="Arial" w:eastAsia="Arial" w:hAnsi="Arial"/>
      <w:b/>
      <w:bCs/>
      <w:color w:val="1565C0"/>
      <w:sz w:val="26"/>
      <w:szCs w:val="26"/>
    </w:rPr>
  </w:style>
  <w:style w:type="paragraph" w:styleId="Heading3">
    <w:name w:val="Heading 3"/>
    <w:basedOn w:val="Normal"/>
    <w:next w:val="Normal"/>
    <w:qFormat/>
    <w:pPr>
      <w:spacing w:before="160" w:after="120"/>
      <w:outlineLvl w:val="2"/>
    </w:pPr>
    <w:rPr>
      <w:rFonts w:ascii="Arial" w:cs="Arial" w:eastAsia="Arial" w:hAnsi="Arial"/>
      <w:b/>
      <w:bCs/>
      <w:color w:val="E651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2026-03-24T05:04:34.288Z</dcterms:created>
  <dcterms:modified xsi:type="dcterms:W3CDTF">2026-03-24T05:04:34.288Z</dcterms:modified>
</cp:coreProperties>
</file>

<file path=docProps/custom.xml><?xml version="1.0" encoding="utf-8"?>
<Properties xmlns="http://schemas.openxmlformats.org/officeDocument/2006/custom-properties" xmlns:vt="http://schemas.openxmlformats.org/officeDocument/2006/docPropsVTypes"/>
</file>