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ORGANIGRAMA ORGANIZACIONAL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Estructura jerárquica — NutriCiclo SCZ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120"/>
            <w:gridSpan w:val="2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GERENCIA GENERAL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34AB7"/>
                <w:sz w:val="16"/>
                <w:szCs w:val="16"/>
              </w:rPr>
              <w:t xml:space="preserve">Dirección estratégica y toma de decisiones</w:t>
            </w:r>
          </w:p>
        </w:tc>
        <w:tc>
          <w:tcPr>
            <w:tcW w:type="dxa" w:w="15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560"/>
            <w:gridSpan w:val="1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Asesoría Legal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Normativa ambiental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none" w:color="FFFFFF" w:sz="0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none" w:color="FFFFFF" w:sz="0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Control de Calidad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SENASAG, ISO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none" w:color="FFFFFF" w:sz="0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none" w:color="FFFFFF" w:sz="0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20"/>
            <w:gridSpan w:val="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GER. DE PRODUCCIÓN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Operaciones de planta</w:t>
            </w:r>
          </w:p>
        </w:tc>
        <w:tc>
          <w:tcPr>
            <w:tcW w:type="dxa" w:w="3120"/>
            <w:gridSpan w:val="2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GER. ADMINISTRATIVA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Finanzas y recursos humanos</w:t>
            </w:r>
          </w:p>
        </w:tc>
        <w:tc>
          <w:tcPr>
            <w:tcW w:type="dxa" w:w="3120"/>
            <w:gridSpan w:val="2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GER. COMERCIAL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Ventas y marketing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Fase 1: Recepción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Triturado de residuos</w:t>
            </w:r>
          </w:p>
        </w:tc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Fase 2: Cría BSF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Mosca soldado negra</w:t>
            </w:r>
          </w:p>
        </w:tc>
        <w:tc>
          <w:tcPr>
            <w:tcW w:type="dxa" w:w="156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Contabilidad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Finanzas y costos</w:t>
            </w:r>
          </w:p>
        </w:tc>
        <w:tc>
          <w:tcPr>
            <w:tcW w:type="dxa" w:w="156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Recursos Humanos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Nómina y personal</w:t>
            </w:r>
          </w:p>
        </w:tc>
        <w:tc>
          <w:tcPr>
            <w:tcW w:type="dxa" w:w="1560"/>
            <w:gridSpan w:val="1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Ventas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Clientes ganaderos</w:t>
            </w:r>
          </w:p>
        </w:tc>
        <w:tc>
          <w:tcPr>
            <w:tcW w:type="dxa" w:w="1560"/>
            <w:gridSpan w:val="1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Marketing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Difusión y marca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Fase 3: Formulación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Prensado de bloques</w:t>
            </w:r>
          </w:p>
        </w:tc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Jefe de Planta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Supervisión operativa</w:t>
            </w:r>
          </w:p>
        </w:tc>
        <w:tc>
          <w:tcPr>
            <w:tcW w:type="dxa" w:w="156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Logística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Compras e insumos</w:t>
            </w:r>
          </w:p>
        </w:tc>
        <w:tc>
          <w:tcPr>
            <w:tcW w:type="dxa" w:w="156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Sistemas / TI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Soporte tecnológico</w:t>
            </w:r>
          </w:p>
        </w:tc>
        <w:tc>
          <w:tcPr>
            <w:tcW w:type="dxa" w:w="1560"/>
            <w:gridSpan w:val="1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Distribución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Despacho y entregas</w:t>
            </w:r>
          </w:p>
        </w:tc>
        <w:tc>
          <w:tcPr>
            <w:tcW w:type="dxa" w:w="1560"/>
            <w:gridSpan w:val="1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Atención al Cliente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Soporte postventa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none" w:color="FFFFFF" w:sz="0"/>
              <w:left w:val="none" w:color="FFFFFF" w:sz="0"/>
              <w:bottom w:val="single" w:color="999999" w:sz="1"/>
              <w:right w:val="single" w:color="999999" w:sz="1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1"/>
            <w:tcBorders>
              <w:top w:val="none" w:color="FFFFFF" w:sz="0"/>
              <w:left w:val="single" w:color="999999" w:sz="1"/>
              <w:bottom w:val="single" w:color="999999" w:sz="1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15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Operarios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Mano de obra directa</w:t>
            </w:r>
          </w:p>
        </w:tc>
        <w:tc>
          <w:tcPr>
            <w:tcW w:type="dxa" w:w="1560"/>
            <w:gridSpan w:val="1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Técnico de Calidad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Control de procesos</w:t>
            </w:r>
          </w:p>
        </w:tc>
        <w:tc>
          <w:tcPr>
            <w:tcW w:type="dxa" w:w="15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Dirección General</w:t>
            </w:r>
          </w:p>
        </w:tc>
        <w:tc>
          <w:tcPr>
            <w:tcW w:type="dxa" w:w="1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Producción</w:t>
            </w:r>
          </w:p>
        </w:tc>
      </w:tr>
      <w:tr>
        <w:tc>
          <w:tcPr>
            <w:tcW w:type="dxa" w:w="1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Administrativa</w:t>
            </w:r>
          </w:p>
        </w:tc>
        <w:tc>
          <w:tcPr>
            <w:tcW w:type="dxa" w:w="15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Comercial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NutriCiclo SCZ — Organigrama Organizacional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6" w:space="4"/>
      </w:pBdr>
      <w:spacing w:after="0"/>
      <w:jc w:val="center"/>
    </w:pPr>
    <w:r>
      <w:rPr>
        <w:rFonts w:ascii="Arial" w:cs="Arial" w:eastAsia="Arial" w:hAnsi="Arial"/>
        <w:b/>
        <w:bCs/>
        <w:color w:val="3C3489"/>
        <w:sz w:val="20"/>
        <w:szCs w:val="20"/>
      </w:rPr>
      <w:t xml:space="preserve">NUTRICICLO SCZ</w:t>
    </w:r>
    <w:r>
      <w:rPr>
        <w:rFonts w:ascii="Arial" w:cs="Arial" w:eastAsia="Arial" w:hAnsi="Arial"/>
        <w:color w:val="666666"/>
        <w:sz w:val="18"/>
        <w:szCs w:val="18"/>
      </w:rPr>
      <w:t xml:space="preserve">  |  Biofábrica de Economía Circular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Arial" w:cs="Arial" w:eastAsia="Arial" w:hAnsi="Arial"/>
      <w:b/>
      <w:bCs/>
      <w:color w:val="3C348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8504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2026-04-02T01:10:26.439Z</dcterms:created>
  <dcterms:modified xsi:type="dcterms:W3CDTF">2026-04-02T01:10:26.441Z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