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333333"/>
          <w:sz w:val="22"/>
          <w:szCs w:val="22"/>
        </w:rPr>
        <w:t xml:space="preserve"/>
      </w:r>
    </w:p>
    <w:p>
      <w:pPr>
        <w:spacing w:after="60"/>
        <w:jc w:val="center"/>
      </w:pPr>
      <w:r>
        <w:rPr>
          <w:rFonts w:ascii="Calibri" w:cs="Calibri" w:eastAsia="Calibri" w:hAnsi="Calibri"/>
          <w:b/>
          <w:bCs/>
          <w:color w:val="888888"/>
          <w:sz w:val="26"/>
          <w:szCs w:val="26"/>
        </w:rPr>
        <w:t xml:space="preserve">EMPRENDEDURISMO</w:t>
      </w:r>
    </w:p>
    <w:p>
      <w:pPr>
        <w:spacing w:after="100"/>
        <w:jc w:val="center"/>
      </w:pPr>
      <w:r>
        <w:rPr>
          <w:rFonts w:ascii="Calibri" w:cs="Calibri" w:eastAsia="Calibri" w:hAnsi="Calibri"/>
          <w:b/>
          <w:bCs/>
          <w:color w:val="1B5E20"/>
          <w:sz w:val="34"/>
          <w:szCs w:val="34"/>
        </w:rPr>
        <w:t xml:space="preserve">Generación y Evaluación de Ideas de Negocios</w:t>
      </w:r>
    </w:p>
    <w:p>
      <w:pPr>
        <w:spacing w:after="60"/>
        <w:jc w:val="center"/>
      </w:pPr>
      <w:r>
        <w:rPr>
          <w:rFonts w:ascii="Calibri" w:cs="Calibri" w:eastAsia="Calibri" w:hAnsi="Calibri"/>
          <w:color w:val="2E7D32"/>
          <w:sz w:val="22"/>
          <w:szCs w:val="22"/>
        </w:rPr>
        <w:t xml:space="preserve">Economía Circular aplicada a la Ganadería de Santa Cruz</w:t>
      </w:r>
    </w:p>
    <w:p>
      <w:pPr>
        <w:spacing w:after="250"/>
        <w:jc w:val="center"/>
      </w:pPr>
      <w:r>
        <w:rPr>
          <w:rFonts w:ascii="Calibri" w:cs="Calibri" w:eastAsia="Calibri" w:hAnsi="Calibri"/>
          <w:b/>
          <w:bCs/>
          <w:color w:val="1B5E20"/>
          <w:sz w:val="28"/>
          <w:szCs w:val="28"/>
        </w:rPr>
        <w:t xml:space="preserve">NutriCiclo SCZ</w:t>
      </w:r>
    </w:p>
    <w:p>
      <w:pPr>
        <w:spacing w:after="50"/>
        <w:jc w:val="center"/>
      </w:pPr>
      <w:r>
        <w:rPr>
          <w:rFonts w:ascii="Calibri" w:cs="Calibri" w:eastAsia="Calibri" w:hAnsi="Calibri"/>
          <w:color w:val="333333"/>
          <w:sz w:val="22"/>
          <w:szCs w:val="22"/>
        </w:rPr>
        <w:t xml:space="preserve">Universidad Privada Domingo Savio (UPDS)</w:t>
      </w:r>
    </w:p>
    <w:p>
      <w:pPr>
        <w:spacing w:after="50"/>
        <w:jc w:val="center"/>
      </w:pPr>
      <w:r>
        <w:rPr>
          <w:rFonts w:ascii="Calibri" w:cs="Calibri" w:eastAsia="Calibri" w:hAnsi="Calibri"/>
          <w:color w:val="333333"/>
          <w:sz w:val="22"/>
          <w:szCs w:val="22"/>
        </w:rPr>
        <w:t xml:space="preserve">Materia: Emprendedurismo</w:t>
      </w:r>
    </w:p>
    <w:p>
      <w:pPr>
        <w:spacing w:after="100" w:line="276"/>
        <w:jc w:val="center"/>
      </w:pPr>
      <w:r>
        <w:rPr>
          <w:rFonts w:ascii="Calibri" w:cs="Calibri" w:eastAsia="Calibri" w:hAnsi="Calibri"/>
          <w:color w:val="333333"/>
          <w:sz w:val="22"/>
          <w:szCs w:val="22"/>
        </w:rPr>
        <w:t xml:space="preserve">Santa Cruz de la Sierra, Bolivia — Marzo 2026</w:t>
      </w:r>
    </w:p>
    <w:p>
      <w:r>
        <w:br w:type="page"/>
      </w:r>
    </w:p>
    <w:p>
      <w:pPr>
        <w:pStyle w:val="Heading1"/>
        <w:spacing w:after="140"/>
      </w:pPr>
      <w:r>
        <w:rPr>
          <w:rFonts w:ascii="Calibri" w:cs="Calibri" w:eastAsia="Calibri" w:hAnsi="Calibri"/>
          <w:b/>
          <w:bCs/>
          <w:color w:val="1B5E20"/>
          <w:sz w:val="30"/>
          <w:szCs w:val="30"/>
        </w:rPr>
        <w:t xml:space="preserve">ANÁLISIS DEL ENTORNO EMPRESARIAL</w:t>
      </w:r>
    </w:p>
    <w:p>
      <w:pPr>
        <w:spacing w:after="120"/>
      </w:pPr>
      <w:r>
        <w:rPr>
          <w:rFonts w:ascii="Calibri" w:cs="Calibri" w:eastAsia="Calibri" w:hAnsi="Calibri"/>
          <w:color w:val="666666"/>
          <w:sz w:val="20"/>
          <w:szCs w:val="20"/>
        </w:rPr>
        <w:t xml:space="preserve">Para la generación de ideas de negocios se analizaron las condiciones macroeconómicas, las tendencias del mercado, los competidores, las condiciones tecnológicas y el ambiente político-legal del entorno ganadero e industrial de Bolivia y Santa Cruz.</w:t>
      </w:r>
    </w:p>
    <w:p>
      <w:pPr>
        <w:spacing w:after="80"/>
      </w:pPr>
      <w:r>
        <w:rPr>
          <w:rFonts w:ascii="Calibri" w:cs="Calibri" w:eastAsia="Calibri" w:hAnsi="Calibri"/>
          <w:b/>
          <w:bCs/>
          <w:color w:val="2E7D32"/>
          <w:sz w:val="22"/>
          <w:szCs w:val="22"/>
        </w:rPr>
        <w:t xml:space="preserve">Condiciones macroeconómicas de Bolivia</w:t>
      </w:r>
    </w:p>
    <w:p>
      <w:pPr>
        <w:spacing w:after="80"/>
      </w:pPr>
      <w:r>
        <w:rPr>
          <w:rFonts w:ascii="Calibri" w:cs="Calibri" w:eastAsia="Calibri" w:hAnsi="Calibri"/>
          <w:color w:val="333333"/>
          <w:sz w:val="20"/>
          <w:szCs w:val="20"/>
        </w:rPr>
        <w:t xml:space="preserve">Bolivia registra un PIB de ~$44 mil millones USD (Banco Mundial, 2024), con el sector agropecuario representando el 14% del PIB. Santa Cruz aporta el 35% del PIB nacional. La inflación al cierre de 2024 fue 5.1% (INE) y la presión sobre el tipo de cambio genera incertidumbre en costos de importación de insumos agropecuarios (soya, fertilizantes), creando oportunidad directa para insumos producidos localmente con residuos industriales. El programa gubernamental de Fomento Ganadero (DS 4560) destinó Bs 443 millones (2021-2025) para el sector.</w:t>
      </w:r>
    </w:p>
    <w:p>
      <w:pPr>
        <w:spacing w:after="80"/>
      </w:pPr>
      <w:r>
        <w:rPr>
          <w:rFonts w:ascii="Calibri" w:cs="Calibri" w:eastAsia="Calibri" w:hAnsi="Calibri"/>
          <w:b/>
          <w:bCs/>
          <w:color w:val="2E7D32"/>
          <w:sz w:val="22"/>
          <w:szCs w:val="22"/>
        </w:rPr>
        <w:t xml:space="preserve">Mercado ganadero de Santa Cruz</w:t>
      </w:r>
    </w:p>
    <w:p>
      <w:pPr>
        <w:spacing w:after="80"/>
      </w:pPr>
      <w:r>
        <w:rPr>
          <w:rFonts w:ascii="Calibri" w:cs="Calibri" w:eastAsia="Calibri" w:hAnsi="Calibri"/>
          <w:color w:val="333333"/>
          <w:sz w:val="20"/>
          <w:szCs w:val="20"/>
        </w:rPr>
        <w:t xml:space="preserve">Santa Cruz concentra 4.4 millones de cabezas de ganado bovino (44% nacional, INE/FEGASACRUZ), ~1 millón de cabezas porcinas, y 50% de la producción avícola del país. Se faenan 673,948 cabezas/año generando $403 millones USD (IBCE). El 65% del hato se ubica en la Chiquitanía, zona afectada por sequías recurrentes (2023, 2024). Los mataderos generan &gt;20,000 toneladas/año de residuos (sangre, rumen, huesos, vísceras) sin aprovechar (&lt;5% se recicla).</w:t>
      </w:r>
    </w:p>
    <w:p>
      <w:pPr>
        <w:spacing w:after="80"/>
      </w:pPr>
      <w:r>
        <w:rPr>
          <w:rFonts w:ascii="Calibri" w:cs="Calibri" w:eastAsia="Calibri" w:hAnsi="Calibri"/>
          <w:b/>
          <w:bCs/>
          <w:color w:val="2E7D32"/>
          <w:sz w:val="22"/>
          <w:szCs w:val="22"/>
        </w:rPr>
        <w:t xml:space="preserve">Tendencias mundiales relevantes</w:t>
      </w:r>
    </w:p>
    <w:p>
      <w:pPr>
        <w:spacing w:after="80"/>
      </w:pPr>
      <w:r>
        <w:rPr>
          <w:rFonts w:ascii="Calibri" w:cs="Calibri" w:eastAsia="Calibri" w:hAnsi="Calibri"/>
          <w:color w:val="333333"/>
          <w:sz w:val="20"/>
          <w:szCs w:val="20"/>
        </w:rPr>
        <w:t xml:space="preserve">(1) Economía circular agroindustrial: la UE aprobó en 2023 proteínas de insectos en alimentación animal. Mercado BSF global: $770M (2025), proyección $9.5B para 2035, crecimiento 32.4% anual (Business Research Insights). (2) Crisis climática: sequías severas devastan pastizales, generando demanda urgente de suplementos compactos. (3) Proteínas alternativas: harina de soya $380-420/tn con tendencia alcista; harina BSF $800-1,500/tn pero superior en aminoácidos y con efecto antimicrobiano. (4) IoT en ganadería: mercado $14.5B (2024), crece 12.5% anual.</w:t>
      </w:r>
    </w:p>
    <w:p>
      <w:pPr>
        <w:spacing w:after="80"/>
      </w:pPr>
      <w:r>
        <w:rPr>
          <w:rFonts w:ascii="Calibri" w:cs="Calibri" w:eastAsia="Calibri" w:hAnsi="Calibri"/>
          <w:b/>
          <w:bCs/>
          <w:color w:val="2E7D32"/>
          <w:sz w:val="22"/>
          <w:szCs w:val="22"/>
        </w:rPr>
        <w:t xml:space="preserve">Competidores y condiciones tecnológicas</w:t>
      </w:r>
    </w:p>
    <w:p>
      <w:pPr>
        <w:spacing w:after="80"/>
      </w:pPr>
      <w:r>
        <w:rPr>
          <w:rFonts w:ascii="Calibri" w:cs="Calibri" w:eastAsia="Calibri" w:hAnsi="Calibri"/>
          <w:color w:val="333333"/>
          <w:sz w:val="20"/>
          <w:szCs w:val="20"/>
        </w:rPr>
        <w:t xml:space="preserve">Ingenio Guabirá ya vende bagazo (Bs 112-147/tn) y melaza (Bs 1,465/tn) a FEGASACRUZ como materia prima suelta (Contacto Económico, 2022), e inauguró planta flex de harina de sorgo (170 tn/día, mayo 2024). Sin embargo, nadie en Bolivia produce bloques multinutricionales con formulación optimizada ni cría mosca soldado negra comercialmente. En Sudamérica solo Ecuador tiene planta BSF industrial (Bioconversión S.A., 100 tn/mes, Bloomberg Línea 2021). Esta brecha tecnológica representa la oportunidad central.</w:t>
      </w:r>
    </w:p>
    <w:p>
      <w:pPr>
        <w:spacing w:after="80"/>
      </w:pPr>
      <w:r>
        <w:rPr>
          <w:rFonts w:ascii="Calibri" w:cs="Calibri" w:eastAsia="Calibri" w:hAnsi="Calibri"/>
          <w:b/>
          <w:bCs/>
          <w:color w:val="2E7D32"/>
          <w:sz w:val="22"/>
          <w:szCs w:val="22"/>
        </w:rPr>
        <w:t xml:space="preserve">Ambiente político-legal y ambiental</w:t>
      </w:r>
    </w:p>
    <w:p>
      <w:pPr>
        <w:spacing w:after="160"/>
      </w:pPr>
      <w:r>
        <w:rPr>
          <w:rFonts w:ascii="Calibri" w:cs="Calibri" w:eastAsia="Calibri" w:hAnsi="Calibri"/>
          <w:color w:val="333333"/>
          <w:sz w:val="20"/>
          <w:szCs w:val="20"/>
        </w:rPr>
        <w:t xml:space="preserve">La Ley 755 de Gestión de Residuos obliga a mataderos a gestionar sus desechos. La Agenda Patriótica 2025 planteó triplicar el hato ganadero a 22 millones. SENASAG habilita 42 mataderos exportadores en SCZ. La cooperación internacional (Swisscontact, JICA) financia proyectos de economía circular y emprendimiento sostenible en Bolivia.</w:t>
      </w:r>
    </w:p>
    <w:p>
      <w:r>
        <w:br w:type="page"/>
      </w:r>
    </w:p>
    <w:p>
      <w:pPr>
        <w:pStyle w:val="Heading1"/>
        <w:spacing w:after="120"/>
      </w:pPr>
      <w:r>
        <w:rPr>
          <w:rFonts w:ascii="Calibri" w:cs="Calibri" w:eastAsia="Calibri" w:hAnsi="Calibri"/>
          <w:b/>
          <w:bCs/>
          <w:color w:val="C62828"/>
          <w:sz w:val="30"/>
          <w:szCs w:val="30"/>
        </w:rPr>
        <w:t xml:space="preserve">1. LISTADO ORIGINAL DE 30 IDEAS DE NEGOCIO</w:t>
      </w:r>
    </w:p>
    <w:p>
      <w:pPr>
        <w:spacing w:after="120"/>
      </w:pPr>
      <w:r>
        <w:rPr>
          <w:rFonts w:ascii="Calibri" w:cs="Calibri" w:eastAsia="Calibri" w:hAnsi="Calibri"/>
          <w:color w:val="666666"/>
          <w:sz w:val="20"/>
          <w:szCs w:val="20"/>
        </w:rPr>
        <w:t xml:space="preserve">Brainstorming (Etapa 1): Listado de 30 ideas analizando tendencias del entorno boliviano, necesidades insatisfechas y problemas sin resolver.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AAAAAA" w:sz="1"/>
              <w:left w:val="single" w:color="AAAAAA" w:sz="1"/>
              <w:bottom w:val="single" w:color="AAAAAA" w:sz="1"/>
              <w:right w:val="single" w:color="AAAAAA" w:sz="1"/>
            </w:tcBorders>
            <w:shd w:fill="C62828"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6"/>
                <w:szCs w:val="16"/>
              </w:rPr>
              <w:t xml:space="preserve">N°</w:t>
            </w:r>
          </w:p>
        </w:tc>
        <w:tc>
          <w:tcPr>
            <w:tcW w:type="dxa" w:w="8860"/>
            <w:tcBorders>
              <w:top w:val="single" w:color="AAAAAA" w:sz="1"/>
              <w:left w:val="single" w:color="AAAAAA" w:sz="1"/>
              <w:bottom w:val="single" w:color="AAAAAA" w:sz="1"/>
              <w:right w:val="single" w:color="AAAAAA" w:sz="1"/>
            </w:tcBorders>
            <w:shd w:fill="C62828"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6"/>
                <w:szCs w:val="16"/>
              </w:rPr>
              <w:t xml:space="preserve">Idea de negocio</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Planta de harina de sangre bovina para alimento de aves y cerdos</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Planta de harina de hueso calcinado como suplemento mineral ganadero</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3</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Biodigestores modulares de estiércol bovino para biogás en estancias</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4</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Compost premium de contenido ruminal de mataderos con lombriz roja</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5</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Bloques multinutricionales (BMN) para ganado vacuno con residuos industriales de SCZ</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6</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Granja de mosca soldado negra (BSF) alimentada con vísceras de matadero</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7</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Jabón artesanal de grasa residual de mataderos y frigoríficos</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8</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Biodiesel a partir de grasas animales de frigoríficos cruceños</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9</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Accesorios y artesanía de cuero reciclado de retazos de curtiembres</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10</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Alimento deshidratado premium para mascotas de vísceras de matadero</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11</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Plataforma digital SaaS de trazabilidad de residuos ganaderos</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12</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BMN enriquecidos con harina proteica de insecto BSF (NutriCiclo)</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13</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Fertilizante orgánico líquido (biol) de vinaza de ingenios azucareros</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14</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Pellets de bagazo de caña como combustible alternativo para secaderos</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15</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Suplemento mineral de cenizas de caldera de ingenios azucareros</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16</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Harina de larva BSF como reemplazo parcial de soya en avicultura</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17</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Bioabono de cachaza de ingenios mezclado con estiércol compostado</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18</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Alimento balanceado circular: melaza + afrecho soya + cascarilla arroz</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19</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Centro de acopio de sangre de mataderos municipales menores</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20</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BMN terapéuticos con desparasitante (Fenbendazol) incorporado</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21</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Quitina/quitosano del exoesqueleto de larvas BSF para uso farmacéutico</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22</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Servicio de instalación y mantenimiento de biodigestores para granjas porcinas</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23</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Planta de rendering integral de subproductos de matadero</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24</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Aceite de larva BSF para cosmética natural y nutrición animal</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25</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Ensilaje de rastrojos agrícolas (soya, sorgo, maíz) para sequía</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26</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Gelatina industrial de huesos y cueros para adhesivos</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27</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App móvil de conexión ganadero-proveedor de suplementos circulares</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28</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Servicio de compostaje in situ para estancias ganaderas grandes</w:t>
            </w:r>
          </w:p>
        </w:tc>
      </w:tr>
      <w:tr>
        <w:tc>
          <w:tcPr>
            <w:tcW w:type="dxa" w:w="50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29</w:t>
            </w:r>
          </w:p>
        </w:tc>
        <w:tc>
          <w:tcPr>
            <w:tcW w:type="dxa" w:w="8860"/>
            <w:tcBorders>
              <w:top w:val="single" w:color="AAAAAA" w:sz="1"/>
              <w:left w:val="single" w:color="AAAAAA" w:sz="1"/>
              <w:bottom w:val="single" w:color="AAAAAA" w:sz="1"/>
              <w:right w:val="single" w:color="AAAAAA" w:sz="1"/>
            </w:tcBorders>
            <w:shd w:fill="FFEBEE"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Carbón activado de huesos para filtración de agua rural</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8"/>
                <w:szCs w:val="18"/>
              </w:rPr>
              <w:t xml:space="preserve">30</w:t>
            </w:r>
          </w:p>
        </w:tc>
        <w:tc>
          <w:tcPr>
            <w:tcW w:type="dxa" w:w="8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8"/>
                <w:szCs w:val="18"/>
              </w:rPr>
              <w:t xml:space="preserve">Hub de economía circular: integra BMN+BSF+compost+plataforma+socioformación</w:t>
            </w:r>
          </w:p>
        </w:tc>
      </w:tr>
    </w:tbl>
    <w:p>
      <w:r>
        <w:br w:type="page"/>
      </w:r>
    </w:p>
    <w:p>
      <w:pPr>
        <w:pStyle w:val="Heading1"/>
        <w:spacing w:after="120"/>
      </w:pPr>
      <w:r>
        <w:rPr>
          <w:rFonts w:ascii="Calibri" w:cs="Calibri" w:eastAsia="Calibri" w:hAnsi="Calibri"/>
          <w:b/>
          <w:bCs/>
          <w:color w:val="E8601C"/>
          <w:sz w:val="30"/>
          <w:szCs w:val="30"/>
        </w:rPr>
        <w:t xml:space="preserve">2. TABLA DE 15 IDEAS FILTRADAS CON PROPUESTA DE VALOR</w:t>
      </w:r>
    </w:p>
    <w:p>
      <w:pPr>
        <w:spacing w:after="120"/>
      </w:pPr>
      <w:r>
        <w:rPr>
          <w:rFonts w:ascii="Calibri" w:cs="Calibri" w:eastAsia="Calibri" w:hAnsi="Calibri"/>
          <w:color w:val="666666"/>
          <w:sz w:val="20"/>
          <w:szCs w:val="20"/>
        </w:rPr>
        <w:t xml:space="preserve">Definición y Filtro (Etapa 2): De las 30 ideas se seleccionaron 15 respondiendo: ¿es necesidad del ganadero?, ¿es innovadora?, ¿existe mercado?, ¿hay demanda insatisfecha?, ¿permite ganancias?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400"/>
        <w:gridCol w:w="2500"/>
        <w:gridCol w:w="2500"/>
        <w:gridCol w:w="2610"/>
      </w:tblGrid>
      <w:tr>
        <w:tc>
          <w:tcPr>
            <w:tcW w:type="dxa" w:w="350"/>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N°</w:t>
            </w:r>
          </w:p>
        </w:tc>
        <w:tc>
          <w:tcPr>
            <w:tcW w:type="dxa" w:w="1400"/>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Idea</w:t>
            </w:r>
          </w:p>
        </w:tc>
        <w:tc>
          <w:tcPr>
            <w:tcW w:type="dxa" w:w="2500"/>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Producto/Servicio</w:t>
            </w:r>
          </w:p>
        </w:tc>
        <w:tc>
          <w:tcPr>
            <w:tcW w:type="dxa" w:w="2500"/>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Necesidad</w:t>
            </w:r>
          </w:p>
        </w:tc>
        <w:tc>
          <w:tcPr>
            <w:tcW w:type="dxa" w:w="2610"/>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Propuesta de valor</w:t>
            </w:r>
          </w:p>
        </w:tc>
      </w:tr>
      <w:tr>
        <w:tc>
          <w:tcPr>
            <w:tcW w:type="dxa" w:w="35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1</w:t>
            </w:r>
          </w:p>
        </w:tc>
        <w:tc>
          <w:tcPr>
            <w:tcW w:type="dxa" w:w="1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Harina de sangre</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Harina proteica (80% PC) para balanceados avícolas y porcinos.</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Mataderos contaminan agua con sangre. Necesitan solución.</w:t>
            </w:r>
          </w:p>
        </w:tc>
        <w:tc>
          <w:tcPr>
            <w:tcW w:type="dxa" w:w="261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MP gratis. Elimina contaminante principal.</w:t>
            </w:r>
          </w:p>
        </w:tc>
      </w:tr>
      <w:tr>
        <w:tc>
          <w:tcPr>
            <w:tcW w:type="dxa" w:w="35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2</w:t>
            </w:r>
          </w:p>
        </w:tc>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Harina de hueso</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Polvo mineral (30% Ca, 15% P) para suplementación ganadera.</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Ganaderos necesitan minerales accesibles.</w:t>
            </w:r>
          </w:p>
        </w:tc>
        <w:tc>
          <w:tcPr>
            <w:tcW w:type="dxa" w:w="261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Residuo gratuito. Sustituye fosfatos importados.</w:t>
            </w:r>
          </w:p>
        </w:tc>
      </w:tr>
      <w:tr>
        <w:tc>
          <w:tcPr>
            <w:tcW w:type="dxa" w:w="35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3</w:t>
            </w:r>
          </w:p>
        </w:tc>
        <w:tc>
          <w:tcPr>
            <w:tcW w:type="dxa" w:w="1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Biodigestores bovinos</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Biogás + digestato fertilizante desde estiércol en estancias.</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Emisiones de metano + dependencia de diésel.</w:t>
            </w:r>
          </w:p>
        </w:tc>
        <w:tc>
          <w:tcPr>
            <w:tcW w:type="dxa" w:w="261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Energía barata + reduce 60-80% emisiones.</w:t>
            </w:r>
          </w:p>
        </w:tc>
      </w:tr>
      <w:tr>
        <w:tc>
          <w:tcPr>
            <w:tcW w:type="dxa" w:w="35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4</w:t>
            </w:r>
          </w:p>
        </w:tc>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Compost ruminal</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Lombricompost de rumen de mataderos.</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Rumen contamina. Suelos necesitan materia orgánica.</w:t>
            </w:r>
          </w:p>
        </w:tc>
        <w:tc>
          <w:tcPr>
            <w:tcW w:type="dxa" w:w="261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Doble ingreso: cobras retiro + vendes compost.</w:t>
            </w:r>
          </w:p>
        </w:tc>
      </w:tr>
      <w:tr>
        <w:tc>
          <w:tcPr>
            <w:tcW w:type="dxa" w:w="35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5</w:t>
            </w:r>
          </w:p>
        </w:tc>
        <w:tc>
          <w:tcPr>
            <w:tcW w:type="dxa" w:w="1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BMN residuos industriales</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Bloques sólidos: melaza+afrecho+cascarilla+urea+cal+minerales.</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Sequía: pasto pierde 70% valor. Ganado pierde peso.</w:t>
            </w:r>
          </w:p>
        </w:tc>
        <w:tc>
          <w:tcPr>
            <w:tcW w:type="dxa" w:w="261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Compacto, transportable a caballo, Bs 4-6/kg.</w:t>
            </w:r>
          </w:p>
        </w:tc>
      </w:tr>
      <w:tr>
        <w:tc>
          <w:tcPr>
            <w:tcW w:type="dxa" w:w="35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6</w:t>
            </w:r>
          </w:p>
        </w:tc>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Granja BSF</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Cría de larvas con vísceras. Harina 42-50% proteína.</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Bolivia importa soya para alimento animal.</w:t>
            </w:r>
          </w:p>
        </w:tc>
        <w:tc>
          <w:tcPr>
            <w:tcW w:type="dxa" w:w="261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Primera BSF Bolivia. Mercado $770M, +32%/año.</w:t>
            </w:r>
          </w:p>
        </w:tc>
      </w:tr>
      <w:tr>
        <w:tc>
          <w:tcPr>
            <w:tcW w:type="dxa" w:w="35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7</w:t>
            </w:r>
          </w:p>
        </w:tc>
        <w:tc>
          <w:tcPr>
            <w:tcW w:type="dxa" w:w="1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Pet food premium</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Snacks deshidratados de vísceras para mascotas.</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Sin oferta local de pet food natural.</w:t>
            </w:r>
          </w:p>
        </w:tc>
        <w:tc>
          <w:tcPr>
            <w:tcW w:type="dxa" w:w="261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MP gratis. Tendencia global pet food natural.</w:t>
            </w:r>
          </w:p>
        </w:tc>
      </w:tr>
      <w:tr>
        <w:tc>
          <w:tcPr>
            <w:tcW w:type="dxa" w:w="35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8</w:t>
            </w:r>
          </w:p>
        </w:tc>
        <w:tc>
          <w:tcPr>
            <w:tcW w:type="dxa" w:w="14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pPr>
            <w:r>
              <w:rPr>
                <w:rFonts w:ascii="Calibri" w:cs="Calibri" w:eastAsia="Calibri" w:hAnsi="Calibri"/>
                <w:b/>
                <w:bCs/>
                <w:color w:val="1B5E20"/>
                <w:sz w:val="16"/>
                <w:szCs w:val="16"/>
              </w:rPr>
              <w:t xml:space="preserve">BMN + BSF (NutriCiclo)</w:t>
            </w:r>
          </w:p>
        </w:tc>
        <w:tc>
          <w:tcPr>
            <w:tcW w:type="dxa" w:w="25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BMN con 4% harina insecto. Ácido láurico antimicrobiano.</w:t>
            </w:r>
          </w:p>
        </w:tc>
        <w:tc>
          <w:tcPr>
            <w:tcW w:type="dxa" w:w="25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Proteína digestible + protección sanitaria en campo.</w:t>
            </w:r>
          </w:p>
        </w:tc>
        <w:tc>
          <w:tcPr>
            <w:tcW w:type="dxa" w:w="261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NUEVO: no existe BMN con insecto en Sudamérica.</w:t>
            </w:r>
          </w:p>
        </w:tc>
      </w:tr>
      <w:tr>
        <w:tc>
          <w:tcPr>
            <w:tcW w:type="dxa" w:w="35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9</w:t>
            </w:r>
          </w:p>
        </w:tc>
        <w:tc>
          <w:tcPr>
            <w:tcW w:type="dxa" w:w="1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Plataforma digital</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Web/app conecta mataderos-ingenios con procesadores.</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Sin trazabilidad de residuos. Ley 755 exige gestión.</w:t>
            </w:r>
          </w:p>
        </w:tc>
        <w:tc>
          <w:tcPr>
            <w:tcW w:type="dxa" w:w="261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SaaS escalable. Born Global.</w:t>
            </w:r>
          </w:p>
        </w:tc>
      </w:tr>
      <w:tr>
        <w:tc>
          <w:tcPr>
            <w:tcW w:type="dxa" w:w="35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10</w:t>
            </w:r>
          </w:p>
        </w:tc>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Cachaza + estiércol</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Compost de cachaza de ingenios con estiércol bovino.</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Cañeros necesitan fertilizante orgánico.</w:t>
            </w:r>
          </w:p>
        </w:tc>
        <w:tc>
          <w:tcPr>
            <w:tcW w:type="dxa" w:w="261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Guabirá genera 300K tn/año cachaza. Ciclo cerrado.</w:t>
            </w:r>
          </w:p>
        </w:tc>
      </w:tr>
      <w:tr>
        <w:tc>
          <w:tcPr>
            <w:tcW w:type="dxa" w:w="35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11</w:t>
            </w:r>
          </w:p>
        </w:tc>
        <w:tc>
          <w:tcPr>
            <w:tcW w:type="dxa" w:w="1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BMN terapéuticos</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BMN con Fenbendazol incorporado.</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Desparasitar en campo extensivo es difícil.</w:t>
            </w:r>
          </w:p>
        </w:tc>
        <w:tc>
          <w:tcPr>
            <w:tcW w:type="dxa" w:w="261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Sin estrés animal. Dosificación automática.</w:t>
            </w:r>
          </w:p>
        </w:tc>
      </w:tr>
      <w:tr>
        <w:tc>
          <w:tcPr>
            <w:tcW w:type="dxa" w:w="35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12</w:t>
            </w:r>
          </w:p>
        </w:tc>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Biodigestores porcinos</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Servicio as-a-service para granjas de cerdo.</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Purín porcino muy contaminante. ~1M cabezas SCZ.</w:t>
            </w:r>
          </w:p>
        </w:tc>
        <w:tc>
          <w:tcPr>
            <w:tcW w:type="dxa" w:w="261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Ingreso recurrente por servicio.</w:t>
            </w:r>
          </w:p>
        </w:tc>
      </w:tr>
      <w:tr>
        <w:tc>
          <w:tcPr>
            <w:tcW w:type="dxa" w:w="35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13</w:t>
            </w:r>
          </w:p>
        </w:tc>
        <w:tc>
          <w:tcPr>
            <w:tcW w:type="dxa" w:w="14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Ensilaje de rastrojos</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Rastrojo post-cosecha ensilado con melaza.</w:t>
            </w:r>
          </w:p>
        </w:tc>
        <w:tc>
          <w:tcPr>
            <w:tcW w:type="dxa" w:w="250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Millones tn rastrojo se queman. Sin forraje en sequía.</w:t>
            </w:r>
          </w:p>
        </w:tc>
        <w:tc>
          <w:tcPr>
            <w:tcW w:type="dxa" w:w="261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Bajo costo. Solución inmediata.</w:t>
            </w:r>
          </w:p>
        </w:tc>
      </w:tr>
      <w:tr>
        <w:tc>
          <w:tcPr>
            <w:tcW w:type="dxa" w:w="35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14</w:t>
            </w:r>
          </w:p>
        </w:tc>
        <w:tc>
          <w:tcPr>
            <w:tcW w:type="dxa" w:w="14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E8601C"/>
                <w:sz w:val="16"/>
                <w:szCs w:val="16"/>
              </w:rPr>
              <w:t xml:space="preserve">Harina BSF avicultura</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Harina de insecto como reemplazo parcial de soya.</w:t>
            </w:r>
          </w:p>
        </w:tc>
        <w:tc>
          <w:tcPr>
            <w:tcW w:type="dxa" w:w="2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Avicultura SCZ (50% nacional) depende de soya.</w:t>
            </w:r>
          </w:p>
        </w:tc>
        <w:tc>
          <w:tcPr>
            <w:tcW w:type="dxa" w:w="261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Perfil aminoacídico superior a soya.</w:t>
            </w:r>
          </w:p>
        </w:tc>
      </w:tr>
      <w:tr>
        <w:tc>
          <w:tcPr>
            <w:tcW w:type="dxa" w:w="35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jc w:val="center"/>
            </w:pPr>
            <w:r>
              <w:rPr>
                <w:rFonts w:ascii="Calibri" w:cs="Calibri" w:eastAsia="Calibri" w:hAnsi="Calibri"/>
                <w:color w:val="333333"/>
                <w:sz w:val="16"/>
                <w:szCs w:val="16"/>
              </w:rPr>
              <w:t xml:space="preserve">15</w:t>
            </w:r>
          </w:p>
        </w:tc>
        <w:tc>
          <w:tcPr>
            <w:tcW w:type="dxa" w:w="14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pPr>
            <w:r>
              <w:rPr>
                <w:rFonts w:ascii="Calibri" w:cs="Calibri" w:eastAsia="Calibri" w:hAnsi="Calibri"/>
                <w:b/>
                <w:bCs/>
                <w:color w:val="1B5E20"/>
                <w:sz w:val="16"/>
                <w:szCs w:val="16"/>
              </w:rPr>
              <w:t xml:space="preserve">Hub NutriCiclo SCZ</w:t>
            </w:r>
          </w:p>
        </w:tc>
        <w:tc>
          <w:tcPr>
            <w:tcW w:type="dxa" w:w="25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Biofábrica integrada: BMN+BSF+compost+plataforma+socioformación.</w:t>
            </w:r>
          </w:p>
        </w:tc>
        <w:tc>
          <w:tcPr>
            <w:tcW w:type="dxa" w:w="25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20K+ tn/año residuos matadero sin usar. 4.4M cabezas.</w:t>
            </w:r>
          </w:p>
        </w:tc>
        <w:tc>
          <w:tcPr>
            <w:tcW w:type="dxa" w:w="261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Ciclo cerrado. Triple innovación. Born Global.</w:t>
            </w:r>
          </w:p>
        </w:tc>
      </w:tr>
    </w:tbl>
    <w:p>
      <w:r>
        <w:br w:type="page"/>
      </w:r>
    </w:p>
    <w:p>
      <w:pPr>
        <w:pStyle w:val="Heading1"/>
        <w:spacing w:after="120"/>
      </w:pPr>
      <w:r>
        <w:rPr>
          <w:rFonts w:ascii="Calibri" w:cs="Calibri" w:eastAsia="Calibri" w:hAnsi="Calibri"/>
          <w:b/>
          <w:bCs/>
          <w:color w:val="F9A825"/>
          <w:sz w:val="30"/>
          <w:szCs w:val="30"/>
        </w:rPr>
        <w:t xml:space="preserve">3. GRÁFICO DE LA MATRIZ DE INNOVACIÓN — 15 IDEAS POSICIONADAS</w:t>
      </w:r>
    </w:p>
    <w:p>
      <w:pPr>
        <w:spacing w:after="120"/>
      </w:pPr>
      <w:r>
        <w:rPr>
          <w:rFonts w:ascii="Calibri" w:cs="Calibri" w:eastAsia="Calibri" w:hAnsi="Calibri"/>
          <w:color w:val="666666"/>
          <w:sz w:val="20"/>
          <w:szCs w:val="20"/>
        </w:rPr>
        <w:t xml:space="preserve">Matriz de Innovación (Etapa 3): Las 15 ideas de la Etapa 2 ubicadas según su impacto en el mercado (alto/bajo) y facilidad de implementación (fácil/difícil).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3780"/>
            <w:tcBorders>
              <w:top w:val="single" w:color="AAAAAA" w:sz="1"/>
              <w:left w:val="single" w:color="AAAAAA" w:sz="1"/>
              <w:bottom w:val="single" w:color="AAAAAA" w:sz="1"/>
              <w:right w:val="single" w:color="AAAAAA" w:sz="1"/>
            </w:tcBorders>
            <w:shd w:fill="F9A825"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18"/>
                <w:szCs w:val="18"/>
              </w:rPr>
              <w:t xml:space="preserve">FÁCIL implementación</w:t>
            </w:r>
          </w:p>
        </w:tc>
        <w:tc>
          <w:tcPr>
            <w:tcW w:type="dxa" w:w="3780"/>
            <w:tcBorders>
              <w:top w:val="single" w:color="AAAAAA" w:sz="1"/>
              <w:left w:val="single" w:color="AAAAAA" w:sz="1"/>
              <w:bottom w:val="single" w:color="AAAAAA" w:sz="1"/>
              <w:right w:val="single" w:color="AAAAAA" w:sz="1"/>
            </w:tcBorders>
            <w:shd w:fill="F9A825"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18"/>
                <w:szCs w:val="18"/>
              </w:rPr>
              <w:t xml:space="preserve">DIFÍCIL implementación</w:t>
            </w:r>
          </w:p>
        </w:tc>
      </w:tr>
      <w:tr>
        <w:tc>
          <w:tcPr>
            <w:tcW w:type="dxa" w:w="1800"/>
            <w:tcBorders>
              <w:top w:val="single" w:color="AAAAAA" w:sz="1"/>
              <w:left w:val="single" w:color="AAAAAA" w:sz="1"/>
              <w:bottom w:val="single" w:color="AAAAAA" w:sz="1"/>
              <w:right w:val="single" w:color="AAAAAA" w:sz="1"/>
            </w:tcBorders>
            <w:shd w:fill="F9A825"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20"/>
                <w:szCs w:val="20"/>
              </w:rPr>
              <w:t xml:space="preserve">ALTO</w:t>
            </w:r>
          </w:p>
          <w:p>
            <w:pPr>
              <w:spacing w:after="100" w:line="276"/>
              <w:jc w:val="center"/>
            </w:pPr>
            <w:r>
              <w:rPr>
                <w:rFonts w:ascii="Calibri" w:cs="Calibri" w:eastAsia="Calibri" w:hAnsi="Calibri"/>
                <w:color w:val="FFFFFF"/>
                <w:sz w:val="16"/>
                <w:szCs w:val="16"/>
              </w:rPr>
              <w:t xml:space="preserve">impacto</w:t>
            </w:r>
          </w:p>
        </w:tc>
        <w:tc>
          <w:tcPr>
            <w:tcW w:type="dxa" w:w="378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80"/>
              <w:jc w:val="center"/>
            </w:pPr>
            <w:r>
              <w:rPr>
                <w:rFonts w:ascii="Calibri" w:cs="Calibri" w:eastAsia="Calibri" w:hAnsi="Calibri"/>
                <w:b/>
                <w:bCs/>
                <w:color w:val="1B5E20"/>
                <w:sz w:val="20"/>
                <w:szCs w:val="20"/>
              </w:rPr>
              <w:t xml:space="preserve">GRAN OPORTUNIDAD</w:t>
            </w:r>
          </w:p>
          <w:p>
            <w:pPr>
              <w:spacing w:after="30"/>
            </w:pPr>
            <w:r>
              <w:rPr>
                <w:rFonts w:ascii="Calibri" w:cs="Calibri" w:eastAsia="Calibri" w:hAnsi="Calibri"/>
                <w:b/>
                <w:bCs/>
                <w:color w:val="1B5E20"/>
                <w:sz w:val="16"/>
                <w:szCs w:val="16"/>
              </w:rPr>
              <w:t xml:space="preserve">9. BMN + harina BSF (NutriCiclo) ★</w:t>
            </w:r>
          </w:p>
          <w:p>
            <w:pPr>
              <w:spacing w:after="30"/>
            </w:pPr>
            <w:r>
              <w:rPr>
                <w:rFonts w:ascii="Calibri" w:cs="Calibri" w:eastAsia="Calibri" w:hAnsi="Calibri"/>
                <w:b/>
                <w:bCs/>
                <w:color w:val="1B5E20"/>
                <w:sz w:val="16"/>
                <w:szCs w:val="16"/>
              </w:rPr>
              <w:t xml:space="preserve">15. Hub circular NutriCiclo SCZ ★</w:t>
            </w:r>
          </w:p>
          <w:p>
            <w:pPr>
              <w:spacing w:after="30"/>
            </w:pPr>
            <w:r>
              <w:rPr>
                <w:rFonts w:ascii="Calibri" w:cs="Calibri" w:eastAsia="Calibri" w:hAnsi="Calibri"/>
                <w:color w:val="333333"/>
                <w:sz w:val="16"/>
                <w:szCs w:val="16"/>
              </w:rPr>
              <w:t xml:space="preserve">5. BMN con residuos industriales</w:t>
            </w:r>
          </w:p>
          <w:p>
            <w:pPr>
              <w:spacing w:after="30"/>
            </w:pPr>
            <w:r>
              <w:rPr>
                <w:rFonts w:ascii="Calibri" w:cs="Calibri" w:eastAsia="Calibri" w:hAnsi="Calibri"/>
                <w:color w:val="333333"/>
                <w:sz w:val="16"/>
                <w:szCs w:val="16"/>
              </w:rPr>
              <w:t xml:space="preserve">1. Harina de sangre bovina</w:t>
            </w:r>
          </w:p>
          <w:p>
            <w:pPr>
              <w:spacing w:after="30"/>
            </w:pPr>
            <w:r>
              <w:rPr>
                <w:rFonts w:ascii="Calibri" w:cs="Calibri" w:eastAsia="Calibri" w:hAnsi="Calibri"/>
                <w:color w:val="333333"/>
                <w:sz w:val="16"/>
                <w:szCs w:val="16"/>
              </w:rPr>
              <w:t xml:space="preserve">4. Compost de contenido ruminal</w:t>
            </w:r>
          </w:p>
          <w:p>
            <w:pPr>
              <w:spacing w:after="30"/>
            </w:pPr>
            <w:r>
              <w:rPr>
                <w:rFonts w:ascii="Calibri" w:cs="Calibri" w:eastAsia="Calibri" w:hAnsi="Calibri"/>
                <w:color w:val="333333"/>
                <w:sz w:val="16"/>
                <w:szCs w:val="16"/>
              </w:rPr>
              <w:t xml:space="preserve">14. Ensilaje de rastrojos para sequía</w:t>
            </w:r>
          </w:p>
          <w:p>
            <w:pPr>
              <w:spacing w:after="100" w:line="276"/>
            </w:pPr>
            <w:r>
              <w:rPr>
                <w:rFonts w:ascii="Calibri" w:cs="Calibri" w:eastAsia="Calibri" w:hAnsi="Calibri"/>
                <w:color w:val="333333"/>
                <w:sz w:val="16"/>
                <w:szCs w:val="16"/>
              </w:rPr>
              <w:t xml:space="preserve">12. BMN terapéuticos con desparasitante</w:t>
            </w:r>
          </w:p>
        </w:tc>
        <w:tc>
          <w:tcPr>
            <w:tcW w:type="dxa" w:w="3780"/>
            <w:tcBorders>
              <w:top w:val="single" w:color="AAAAAA" w:sz="1"/>
              <w:left w:val="single" w:color="AAAAAA" w:sz="1"/>
              <w:bottom w:val="single" w:color="AAAAAA" w:sz="1"/>
              <w:right w:val="single" w:color="AAAAAA" w:sz="1"/>
            </w:tcBorders>
            <w:shd w:fill="E3F2FD" w:val="clear"/>
            <w:tcMar>
              <w:top w:type="dxa" w:w="50"/>
              <w:left w:type="dxa" w:w="80"/>
              <w:bottom w:type="dxa" w:w="50"/>
              <w:right w:type="dxa" w:w="80"/>
            </w:tcMar>
            <w:vAlign w:val="center"/>
          </w:tcPr>
          <w:p>
            <w:pPr>
              <w:spacing w:after="80"/>
              <w:jc w:val="center"/>
            </w:pPr>
            <w:r>
              <w:rPr>
                <w:rFonts w:ascii="Calibri" w:cs="Calibri" w:eastAsia="Calibri" w:hAnsi="Calibri"/>
                <w:b/>
                <w:bCs/>
                <w:color w:val="1565C0"/>
                <w:sz w:val="20"/>
                <w:szCs w:val="20"/>
              </w:rPr>
              <w:t xml:space="preserve">ESFUERZO ESPECIAL</w:t>
            </w:r>
          </w:p>
          <w:p>
            <w:pPr>
              <w:spacing w:after="30"/>
            </w:pPr>
            <w:r>
              <w:rPr>
                <w:rFonts w:ascii="Calibri" w:cs="Calibri" w:eastAsia="Calibri" w:hAnsi="Calibri"/>
                <w:color w:val="333333"/>
                <w:sz w:val="16"/>
                <w:szCs w:val="16"/>
              </w:rPr>
              <w:t xml:space="preserve">6. Granja BSF</w:t>
            </w:r>
          </w:p>
          <w:p>
            <w:pPr>
              <w:spacing w:after="30"/>
            </w:pPr>
            <w:r>
              <w:rPr>
                <w:rFonts w:ascii="Calibri" w:cs="Calibri" w:eastAsia="Calibri" w:hAnsi="Calibri"/>
                <w:color w:val="333333"/>
                <w:sz w:val="16"/>
                <w:szCs w:val="16"/>
              </w:rPr>
              <w:t xml:space="preserve">10. Plataforma digital SaaS</w:t>
            </w:r>
          </w:p>
          <w:p>
            <w:pPr>
              <w:spacing w:after="30"/>
            </w:pPr>
            <w:r>
              <w:rPr>
                <w:rFonts w:ascii="Calibri" w:cs="Calibri" w:eastAsia="Calibri" w:hAnsi="Calibri"/>
                <w:color w:val="333333"/>
                <w:sz w:val="16"/>
                <w:szCs w:val="16"/>
              </w:rPr>
              <w:t xml:space="preserve">3. Biodigestores de estiércol bovino</w:t>
            </w:r>
          </w:p>
          <w:p>
            <w:pPr>
              <w:spacing w:after="100" w:line="276"/>
            </w:pPr>
            <w:r>
              <w:rPr>
                <w:rFonts w:ascii="Calibri" w:cs="Calibri" w:eastAsia="Calibri" w:hAnsi="Calibri"/>
                <w:color w:val="333333"/>
                <w:sz w:val="16"/>
                <w:szCs w:val="16"/>
              </w:rPr>
              <w:t xml:space="preserve">13. Servicio biodigestores porcinos</w:t>
            </w:r>
          </w:p>
        </w:tc>
      </w:tr>
      <w:tr>
        <w:tc>
          <w:tcPr>
            <w:tcW w:type="dxa" w:w="1800"/>
            <w:tcBorders>
              <w:top w:val="single" w:color="AAAAAA" w:sz="1"/>
              <w:left w:val="single" w:color="AAAAAA" w:sz="1"/>
              <w:bottom w:val="single" w:color="AAAAAA" w:sz="1"/>
              <w:right w:val="single" w:color="AAAAAA" w:sz="1"/>
            </w:tcBorders>
            <w:shd w:fill="F9A825"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20"/>
                <w:szCs w:val="20"/>
              </w:rPr>
              <w:t xml:space="preserve">BAJO</w:t>
            </w:r>
          </w:p>
          <w:p>
            <w:pPr>
              <w:spacing w:after="100" w:line="276"/>
              <w:jc w:val="center"/>
            </w:pPr>
            <w:r>
              <w:rPr>
                <w:rFonts w:ascii="Calibri" w:cs="Calibri" w:eastAsia="Calibri" w:hAnsi="Calibri"/>
                <w:color w:val="FFFFFF"/>
                <w:sz w:val="16"/>
                <w:szCs w:val="16"/>
              </w:rPr>
              <w:t xml:space="preserve">impacto</w:t>
            </w:r>
          </w:p>
        </w:tc>
        <w:tc>
          <w:tcPr>
            <w:tcW w:type="dxa" w:w="3780"/>
            <w:tcBorders>
              <w:top w:val="single" w:color="AAAAAA" w:sz="1"/>
              <w:left w:val="single" w:color="AAAAAA" w:sz="1"/>
              <w:bottom w:val="single" w:color="AAAAAA" w:sz="1"/>
              <w:right w:val="single" w:color="AAAAAA" w:sz="1"/>
            </w:tcBorders>
            <w:shd w:fill="FFF3E0" w:val="clear"/>
            <w:tcMar>
              <w:top w:type="dxa" w:w="50"/>
              <w:left w:type="dxa" w:w="80"/>
              <w:bottom w:type="dxa" w:w="50"/>
              <w:right w:type="dxa" w:w="80"/>
            </w:tcMar>
            <w:vAlign w:val="center"/>
          </w:tcPr>
          <w:p>
            <w:pPr>
              <w:spacing w:after="80"/>
              <w:jc w:val="center"/>
            </w:pPr>
            <w:r>
              <w:rPr>
                <w:rFonts w:ascii="Calibri" w:cs="Calibri" w:eastAsia="Calibri" w:hAnsi="Calibri"/>
                <w:b/>
                <w:bCs/>
                <w:color w:val="E65100"/>
                <w:sz w:val="20"/>
                <w:szCs w:val="20"/>
              </w:rPr>
              <w:t xml:space="preserve">GANANCIA RÁPIDA</w:t>
            </w:r>
          </w:p>
          <w:p>
            <w:pPr>
              <w:spacing w:after="30"/>
            </w:pPr>
            <w:r>
              <w:rPr>
                <w:rFonts w:ascii="Calibri" w:cs="Calibri" w:eastAsia="Calibri" w:hAnsi="Calibri"/>
                <w:color w:val="333333"/>
                <w:sz w:val="16"/>
                <w:szCs w:val="16"/>
              </w:rPr>
              <w:t xml:space="preserve">8. Pet food premium mascotas</w:t>
            </w:r>
          </w:p>
          <w:p>
            <w:pPr>
              <w:spacing w:after="30"/>
            </w:pPr>
            <w:r>
              <w:rPr>
                <w:rFonts w:ascii="Calibri" w:cs="Calibri" w:eastAsia="Calibri" w:hAnsi="Calibri"/>
                <w:color w:val="333333"/>
                <w:sz w:val="16"/>
                <w:szCs w:val="16"/>
              </w:rPr>
              <w:t xml:space="preserve">11. Fertilizante cachaza + estiércol</w:t>
            </w:r>
          </w:p>
          <w:p>
            <w:pPr>
              <w:spacing w:after="100" w:line="276"/>
            </w:pPr>
            <w:r>
              <w:rPr>
                <w:rFonts w:ascii="Calibri" w:cs="Calibri" w:eastAsia="Calibri" w:hAnsi="Calibri"/>
                <w:color w:val="333333"/>
                <w:sz w:val="16"/>
                <w:szCs w:val="16"/>
              </w:rPr>
              <w:t xml:space="preserve">2. Harina de hueso calcinado</w:t>
            </w:r>
          </w:p>
        </w:tc>
        <w:tc>
          <w:tcPr>
            <w:tcW w:type="dxa" w:w="3780"/>
            <w:tcBorders>
              <w:top w:val="single" w:color="AAAAAA" w:sz="1"/>
              <w:left w:val="single" w:color="AAAAAA" w:sz="1"/>
              <w:bottom w:val="single" w:color="AAAAAA" w:sz="1"/>
              <w:right w:val="single" w:color="AAAAAA" w:sz="1"/>
            </w:tcBorders>
            <w:shd w:fill="F5F5F5" w:val="clear"/>
            <w:tcMar>
              <w:top w:type="dxa" w:w="50"/>
              <w:left w:type="dxa" w:w="80"/>
              <w:bottom w:type="dxa" w:w="50"/>
              <w:right w:type="dxa" w:w="80"/>
            </w:tcMar>
            <w:vAlign w:val="center"/>
          </w:tcPr>
          <w:p>
            <w:pPr>
              <w:spacing w:after="80"/>
              <w:jc w:val="center"/>
            </w:pPr>
            <w:r>
              <w:rPr>
                <w:rFonts w:ascii="Calibri" w:cs="Calibri" w:eastAsia="Calibri" w:hAnsi="Calibri"/>
                <w:b/>
                <w:bCs/>
                <w:color w:val="9E9E9E"/>
                <w:sz w:val="20"/>
                <w:szCs w:val="20"/>
              </w:rPr>
              <w:t xml:space="preserve">PÉRDIDA DE TIEMPO</w:t>
            </w:r>
          </w:p>
          <w:p>
            <w:pPr>
              <w:spacing w:after="30"/>
            </w:pPr>
            <w:r>
              <w:rPr>
                <w:rFonts w:ascii="Calibri" w:cs="Calibri" w:eastAsia="Calibri" w:hAnsi="Calibri"/>
                <w:color w:val="999999"/>
                <w:sz w:val="16"/>
                <w:szCs w:val="16"/>
              </w:rPr>
              <w:t xml:space="preserve">7. Biodiesel de grasas de matadero</w:t>
            </w:r>
          </w:p>
          <w:p>
            <w:pPr>
              <w:spacing w:after="100" w:line="276"/>
            </w:pPr>
            <w:r>
              <w:rPr>
                <w:rFonts w:ascii="Calibri" w:cs="Calibri" w:eastAsia="Calibri" w:hAnsi="Calibri"/>
                <w:color w:val="AAAAAA"/>
                <w:sz w:val="14"/>
                <w:szCs w:val="14"/>
              </w:rPr>
              <w:t xml:space="preserve">(Regulación compleja + bajo margen)</w:t>
            </w:r>
          </w:p>
        </w:tc>
      </w:tr>
    </w:tbl>
    <w:p>
      <w:pPr>
        <w:spacing w:after="100"/>
      </w:pPr>
      <w:r>
        <w:rPr>
          <w:rFonts w:ascii="Calibri" w:cs="Calibri" w:eastAsia="Calibri" w:hAnsi="Calibri"/>
          <w:color w:val="333333"/>
          <w:sz w:val="22"/>
          <w:szCs w:val="22"/>
        </w:rPr>
        <w:t xml:space="preserve"/>
      </w:r>
    </w:p>
    <w:p>
      <w:pPr>
        <w:spacing w:after="60"/>
      </w:pPr>
      <w:r>
        <w:rPr>
          <w:rFonts w:ascii="Calibri" w:cs="Calibri" w:eastAsia="Calibri" w:hAnsi="Calibri"/>
          <w:b/>
          <w:bCs/>
          <w:color w:val="333333"/>
          <w:sz w:val="20"/>
          <w:szCs w:val="20"/>
        </w:rPr>
        <w:t xml:space="preserve">Distribución de las 15 ideas:</w:t>
      </w:r>
    </w:p>
    <w:p>
      <w:pPr>
        <w:spacing w:after="40"/>
      </w:pPr>
      <w:r>
        <w:rPr>
          <w:rFonts w:ascii="Calibri" w:cs="Calibri" w:eastAsia="Calibri" w:hAnsi="Calibri"/>
          <w:color w:val="1B5E20"/>
          <w:sz w:val="18"/>
          <w:szCs w:val="18"/>
        </w:rPr>
        <w:t xml:space="preserve">Gran Oportunidad (7 ideas): alto impacto + fácil implementación. Destacan las ideas 9 y 15 (NutriCiclo) como las de mayor potencial combinado.</w:t>
      </w:r>
    </w:p>
    <w:p>
      <w:pPr>
        <w:spacing w:after="40"/>
      </w:pPr>
      <w:r>
        <w:rPr>
          <w:rFonts w:ascii="Calibri" w:cs="Calibri" w:eastAsia="Calibri" w:hAnsi="Calibri"/>
          <w:color w:val="1565C0"/>
          <w:sz w:val="18"/>
          <w:szCs w:val="18"/>
        </w:rPr>
        <w:t xml:space="preserve">Esfuerzo Especial (4 ideas): alto impacto pero requieren mayor inversión, know-how técnico o desarrollo tecnológico.</w:t>
      </w:r>
    </w:p>
    <w:p>
      <w:pPr>
        <w:spacing w:after="40"/>
      </w:pPr>
      <w:r>
        <w:rPr>
          <w:rFonts w:ascii="Calibri" w:cs="Calibri" w:eastAsia="Calibri" w:hAnsi="Calibri"/>
          <w:color w:val="E65100"/>
          <w:sz w:val="18"/>
          <w:szCs w:val="18"/>
        </w:rPr>
        <w:t xml:space="preserve">Ganancia Rápida (3 ideas): fáciles de implementar pero con impacto limitado en el problema central de residuos ganaderos.</w:t>
      </w:r>
    </w:p>
    <w:p>
      <w:pPr>
        <w:spacing w:after="100"/>
      </w:pPr>
      <w:r>
        <w:rPr>
          <w:rFonts w:ascii="Calibri" w:cs="Calibri" w:eastAsia="Calibri" w:hAnsi="Calibri"/>
          <w:color w:val="999999"/>
          <w:sz w:val="18"/>
          <w:szCs w:val="18"/>
        </w:rPr>
        <w:t xml:space="preserve">Pérdida de Tiempo (1 idea): el biodiesel de grasas tiene regulación compleja en Bolivia y margen bajo para justificar la inversión.</w:t>
      </w:r>
    </w:p>
    <w:p>
      <w:pPr>
        <w:spacing w:after="100"/>
      </w:pPr>
      <w:r>
        <w:rPr>
          <w:rFonts w:ascii="Calibri" w:cs="Calibri" w:eastAsia="Calibri" w:hAnsi="Calibri"/>
          <w:b/>
          <w:bCs/>
          <w:color w:val="1B5E20"/>
          <w:sz w:val="20"/>
          <w:szCs w:val="20"/>
        </w:rPr>
        <w:t xml:space="preserve">5 ideas seleccionadas para evaluación final (cuadrantes Gran Oportunidad + Esfuerzo Especial): 9 (BMN+BSF), 15 (Hub NutriCiclo), 5 (BMN residuos), 6 (Granja BSF) y 10 (Plataforma digital).</w:t>
      </w:r>
    </w:p>
    <w:p>
      <w:r>
        <w:br w:type="page"/>
      </w:r>
    </w:p>
    <w:p>
      <w:pPr>
        <w:pStyle w:val="Heading1"/>
        <w:spacing w:after="120"/>
      </w:pPr>
      <w:r>
        <w:rPr>
          <w:rFonts w:ascii="Calibri" w:cs="Calibri" w:eastAsia="Calibri" w:hAnsi="Calibri"/>
          <w:b/>
          <w:bCs/>
          <w:color w:val="424242"/>
          <w:sz w:val="30"/>
          <w:szCs w:val="30"/>
        </w:rPr>
        <w:t xml:space="preserve">4. EVALUACIÓN CUANTITATIVA — TABLA 6 CON JUSTIFICACIÓN</w:t>
      </w:r>
    </w:p>
    <w:p>
      <w:pPr>
        <w:spacing w:after="120"/>
      </w:pPr>
      <w:r>
        <w:rPr>
          <w:rFonts w:ascii="Calibri" w:cs="Calibri" w:eastAsia="Calibri" w:hAnsi="Calibri"/>
          <w:color w:val="666666"/>
          <w:sz w:val="20"/>
          <w:szCs w:val="20"/>
        </w:rPr>
        <w:t xml:space="preserve">Evaluación Cuantitativa (Etapa 5): 5 ideas evaluadas en 15 factores (Persona, Mercado, Recursos), escala 1-5, con justificación de cada puntaje.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Borders>
              <w:top w:val="single" w:color="AAAAAA" w:sz="1"/>
              <w:left w:val="single" w:color="AAAAAA" w:sz="1"/>
              <w:bottom w:val="single" w:color="AAAAAA" w:sz="1"/>
              <w:right w:val="single" w:color="AAAAAA" w:sz="1"/>
            </w:tcBorders>
            <w:shd w:fill="424242"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Criterio</w:t>
            </w:r>
          </w:p>
        </w:tc>
        <w:tc>
          <w:tcPr>
            <w:tcW w:type="dxa" w:w="1312"/>
            <w:tcBorders>
              <w:top w:val="single" w:color="AAAAAA" w:sz="1"/>
              <w:left w:val="single" w:color="AAAAAA" w:sz="1"/>
              <w:bottom w:val="single" w:color="AAAAAA" w:sz="1"/>
              <w:right w:val="single" w:color="AAAAAA" w:sz="1"/>
            </w:tcBorders>
            <w:shd w:fill="424242"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12"/>
                <w:szCs w:val="12"/>
              </w:rPr>
              <w:t xml:space="preserve">BMN+BSF NutriCiclo</w:t>
            </w:r>
          </w:p>
        </w:tc>
        <w:tc>
          <w:tcPr>
            <w:tcW w:type="dxa" w:w="1312"/>
            <w:tcBorders>
              <w:top w:val="single" w:color="AAAAAA" w:sz="1"/>
              <w:left w:val="single" w:color="AAAAAA" w:sz="1"/>
              <w:bottom w:val="single" w:color="AAAAAA" w:sz="1"/>
              <w:right w:val="single" w:color="AAAAAA" w:sz="1"/>
            </w:tcBorders>
            <w:shd w:fill="424242"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12"/>
                <w:szCs w:val="12"/>
              </w:rPr>
              <w:t xml:space="preserve">Hub NutriCiclo</w:t>
            </w:r>
          </w:p>
        </w:tc>
        <w:tc>
          <w:tcPr>
            <w:tcW w:type="dxa" w:w="1312"/>
            <w:tcBorders>
              <w:top w:val="single" w:color="AAAAAA" w:sz="1"/>
              <w:left w:val="single" w:color="AAAAAA" w:sz="1"/>
              <w:bottom w:val="single" w:color="AAAAAA" w:sz="1"/>
              <w:right w:val="single" w:color="AAAAAA" w:sz="1"/>
            </w:tcBorders>
            <w:shd w:fill="424242"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12"/>
                <w:szCs w:val="12"/>
              </w:rPr>
              <w:t xml:space="preserve">BMN residuos ind.</w:t>
            </w:r>
          </w:p>
        </w:tc>
        <w:tc>
          <w:tcPr>
            <w:tcW w:type="dxa" w:w="1312"/>
            <w:tcBorders>
              <w:top w:val="single" w:color="AAAAAA" w:sz="1"/>
              <w:left w:val="single" w:color="AAAAAA" w:sz="1"/>
              <w:bottom w:val="single" w:color="AAAAAA" w:sz="1"/>
              <w:right w:val="single" w:color="AAAAAA" w:sz="1"/>
            </w:tcBorders>
            <w:shd w:fill="424242"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12"/>
                <w:szCs w:val="12"/>
              </w:rPr>
              <w:t xml:space="preserve">Granja BSF</w:t>
            </w:r>
          </w:p>
        </w:tc>
        <w:tc>
          <w:tcPr>
            <w:tcW w:type="dxa" w:w="1312"/>
            <w:tcBorders>
              <w:top w:val="single" w:color="AAAAAA" w:sz="1"/>
              <w:left w:val="single" w:color="AAAAAA" w:sz="1"/>
              <w:bottom w:val="single" w:color="AAAAAA" w:sz="1"/>
              <w:right w:val="single" w:color="AAAAAA" w:sz="1"/>
            </w:tcBorders>
            <w:shd w:fill="424242"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12"/>
                <w:szCs w:val="12"/>
              </w:rPr>
              <w:t xml:space="preserve">Plataforma digital</w:t>
            </w:r>
          </w:p>
        </w:tc>
      </w:tr>
      <w:tr>
        <w:tc>
          <w:tcPr>
            <w:tcW w:type="dxa" w:w="2800"/>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PERSPECTIVA PERSONA</w:t>
            </w:r>
          </w:p>
        </w:tc>
        <w:tc>
          <w:tcPr>
            <w:tcW w:type="dxa" w:w="1312"/>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1565C0"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r>
      <w:tr>
        <w:tc>
          <w:tcPr>
            <w:tcW w:type="dxa" w:w="2800"/>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Vibro con la idea</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Poseo talento</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r>
      <w:tr>
        <w:tc>
          <w:tcPr>
            <w:tcW w:type="dxa" w:w="2800"/>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Conocimiento en el campo</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Experiencia práctica</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C62828"/>
                <w:sz w:val="16"/>
                <w:szCs w:val="16"/>
              </w:rPr>
              <w:t xml:space="preserve">2</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r>
      <w:tr>
        <w:tc>
          <w:tcPr>
            <w:tcW w:type="dxa" w:w="2800"/>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Red de contactos</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r>
      <w:tr>
        <w:tc>
          <w:tcPr>
            <w:tcW w:type="dxa" w:w="2800"/>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PERSPECTIVA MERCADO</w:t>
            </w:r>
          </w:p>
        </w:tc>
        <w:tc>
          <w:tcPr>
            <w:tcW w:type="dxa" w:w="1312"/>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r>
      <w:tr>
        <w:tc>
          <w:tcPr>
            <w:tcW w:type="dxa" w:w="2800"/>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Potencial de mercado</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Necesidades insatisfechas</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r>
      <w:tr>
        <w:tc>
          <w:tcPr>
            <w:tcW w:type="dxa" w:w="2800"/>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Conozco competencia</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C62828"/>
                <w:sz w:val="16"/>
                <w:szCs w:val="16"/>
              </w:rPr>
              <w:t xml:space="preserve">2</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Sé llegar al mercado</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r>
      <w:tr>
        <w:tc>
          <w:tcPr>
            <w:tcW w:type="dxa" w:w="2800"/>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Elementos innovadores</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r>
      <w:tr>
        <w:tc>
          <w:tcPr>
            <w:tcW w:type="dxa" w:w="2800"/>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PERSPECTIVA RECURSOS</w:t>
            </w:r>
          </w:p>
        </w:tc>
        <w:tc>
          <w:tcPr>
            <w:tcW w:type="dxa" w:w="1312"/>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c>
          <w:tcPr>
            <w:tcW w:type="dxa" w:w="1312"/>
            <w:tcBorders>
              <w:top w:val="single" w:color="AAAAAA" w:sz="1"/>
              <w:left w:val="single" w:color="AAAAAA" w:sz="1"/>
              <w:bottom w:val="single" w:color="AAAAAA" w:sz="1"/>
              <w:right w:val="single" w:color="AAAAAA" w:sz="1"/>
            </w:tcBorders>
            <w:shd w:fill="E8601C" w:val="clear"/>
            <w:tcMar>
              <w:top w:type="dxa" w:w="50"/>
              <w:left w:type="dxa" w:w="80"/>
              <w:bottom w:type="dxa" w:w="50"/>
              <w:right w:type="dxa" w:w="80"/>
            </w:tcMar>
            <w:vAlign w:val="center"/>
          </w:tcPr>
          <w:p>
            <w:pPr>
              <w:spacing w:after="100" w:line="276"/>
            </w:pPr>
            <w:r>
              <w:rPr>
                <w:rFonts w:ascii="Calibri" w:cs="Calibri" w:eastAsia="Calibri" w:hAnsi="Calibri"/>
                <w:color w:val="333333"/>
                <w:sz w:val="20"/>
                <w:szCs w:val="20"/>
              </w:rPr>
              <w:t xml:space="preserve"/>
            </w:r>
          </w:p>
        </w:tc>
      </w:tr>
      <w:tr>
        <w:tc>
          <w:tcPr>
            <w:tcW w:type="dxa" w:w="2800"/>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Consigo gente requerida</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Acceso a tecnología</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r>
      <w:tr>
        <w:tc>
          <w:tcPr>
            <w:tcW w:type="dxa" w:w="2800"/>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Consigo insumos y MP</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r>
      <w:tr>
        <w:tc>
          <w:tcPr>
            <w:tcW w:type="dxa" w:w="28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Recursos económicos</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F57F17"/>
                <w:sz w:val="16"/>
                <w:szCs w:val="16"/>
              </w:rPr>
              <w:t xml:space="preserve">3</w:t>
            </w:r>
          </w:p>
        </w:tc>
        <w:tc>
          <w:tcPr>
            <w:tcW w:type="dxa" w:w="1312"/>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r>
      <w:tr>
        <w:tc>
          <w:tcPr>
            <w:tcW w:type="dxa" w:w="2800"/>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pPr>
            <w:r>
              <w:rPr>
                <w:rFonts w:ascii="Calibri" w:cs="Calibri" w:eastAsia="Calibri" w:hAnsi="Calibri"/>
                <w:color w:val="333333"/>
                <w:sz w:val="14"/>
                <w:szCs w:val="14"/>
              </w:rPr>
              <w:t xml:space="preserve">Puede ser rentable</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6"/>
                <w:szCs w:val="16"/>
              </w:rPr>
              <w:t xml:space="preserve">5</w:t>
            </w:r>
          </w:p>
        </w:tc>
        <w:tc>
          <w:tcPr>
            <w:tcW w:type="dxa" w:w="1312"/>
            <w:tcBorders>
              <w:top w:val="single" w:color="AAAAAA" w:sz="1"/>
              <w:left w:val="single" w:color="AAAAAA" w:sz="1"/>
              <w:bottom w:val="single" w:color="AAAAAA" w:sz="1"/>
              <w:right w:val="single" w:color="AAAAAA" w:sz="1"/>
            </w:tcBorders>
            <w:shd w:fill="F8F8F8" w:val="clear"/>
            <w:tcMar>
              <w:top w:type="dxa" w:w="50"/>
              <w:left w:type="dxa" w:w="80"/>
              <w:bottom w:type="dxa" w:w="50"/>
              <w:right w:type="dxa" w:w="80"/>
            </w:tcMar>
            <w:vAlign w:val="center"/>
          </w:tcPr>
          <w:p>
            <w:pPr>
              <w:spacing w:after="100" w:line="276"/>
              <w:jc w:val="center"/>
            </w:pPr>
            <w:r>
              <w:rPr>
                <w:rFonts w:ascii="Calibri" w:cs="Calibri" w:eastAsia="Calibri" w:hAnsi="Calibri"/>
                <w:b w:val="false"/>
                <w:bCs w:val="false"/>
                <w:color w:val="2E7D32"/>
                <w:sz w:val="16"/>
                <w:szCs w:val="16"/>
              </w:rPr>
              <w:t xml:space="preserve">4</w:t>
            </w:r>
          </w:p>
        </w:tc>
      </w:tr>
      <w:tr>
        <w:tc>
          <w:tcPr>
            <w:tcW w:type="dxa" w:w="28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PROMEDIO (÷15)</w:t>
            </w:r>
          </w:p>
        </w:tc>
        <w:tc>
          <w:tcPr>
            <w:tcW w:type="dxa" w:w="1312"/>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20"/>
                <w:szCs w:val="20"/>
              </w:rPr>
              <w:t xml:space="preserve">4.33</w:t>
            </w:r>
          </w:p>
        </w:tc>
        <w:tc>
          <w:tcPr>
            <w:tcW w:type="dxa" w:w="1312"/>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20"/>
                <w:szCs w:val="20"/>
              </w:rPr>
              <w:t xml:space="preserve">4.27</w:t>
            </w:r>
          </w:p>
        </w:tc>
        <w:tc>
          <w:tcPr>
            <w:tcW w:type="dxa" w:w="1312"/>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20"/>
                <w:szCs w:val="20"/>
              </w:rPr>
              <w:t xml:space="preserve">4.13</w:t>
            </w:r>
          </w:p>
        </w:tc>
        <w:tc>
          <w:tcPr>
            <w:tcW w:type="dxa" w:w="1312"/>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20"/>
                <w:szCs w:val="20"/>
              </w:rPr>
              <w:t xml:space="preserve">3.60</w:t>
            </w:r>
          </w:p>
        </w:tc>
        <w:tc>
          <w:tcPr>
            <w:tcW w:type="dxa" w:w="1312"/>
            <w:tcBorders>
              <w:top w:val="single" w:color="AAAAAA" w:sz="1"/>
              <w:left w:val="single" w:color="AAAAAA" w:sz="1"/>
              <w:bottom w:val="single" w:color="AAAAAA" w:sz="1"/>
              <w:right w:val="single" w:color="AAAAAA" w:sz="1"/>
            </w:tcBorders>
            <w:shd w:fill="2E7D32"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FFFFF"/>
                <w:sz w:val="20"/>
                <w:szCs w:val="20"/>
              </w:rPr>
              <w:t xml:space="preserve">4.27</w:t>
            </w:r>
          </w:p>
        </w:tc>
      </w:tr>
    </w:tbl>
    <w:p>
      <w:pPr>
        <w:spacing w:after="160"/>
      </w:pPr>
      <w:r>
        <w:rPr>
          <w:rFonts w:ascii="Calibri" w:cs="Calibri" w:eastAsia="Calibri" w:hAnsi="Calibri"/>
          <w:color w:val="333333"/>
          <w:sz w:val="22"/>
          <w:szCs w:val="22"/>
        </w:rPr>
        <w:t xml:space="preserve"/>
      </w:r>
    </w:p>
    <w:p>
      <w:pPr>
        <w:pStyle w:val="Heading2"/>
        <w:spacing w:after="100"/>
      </w:pPr>
      <w:r>
        <w:rPr>
          <w:rFonts w:ascii="Calibri" w:cs="Calibri" w:eastAsia="Calibri" w:hAnsi="Calibri"/>
          <w:b/>
          <w:bCs/>
          <w:color w:val="1B5E20"/>
          <w:sz w:val="24"/>
          <w:szCs w:val="24"/>
        </w:rPr>
        <w:t xml:space="preserve">Justificación de puntajes — Idea ganadora: BMN + BSF (NutriCiclo)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660"/>
      </w:tblGrid>
      <w:tr>
        <w:tc>
          <w:tcPr>
            <w:tcW w:type="dxa" w:w="22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Factor</w:t>
            </w:r>
          </w:p>
        </w:tc>
        <w:tc>
          <w:tcPr>
            <w:tcW w:type="dxa" w:w="50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Nota</w:t>
            </w:r>
          </w:p>
        </w:tc>
        <w:tc>
          <w:tcPr>
            <w:tcW w:type="dxa" w:w="6660"/>
            <w:tcBorders>
              <w:top w:val="single" w:color="AAAAAA" w:sz="1"/>
              <w:left w:val="single" w:color="AAAAAA" w:sz="1"/>
              <w:bottom w:val="single" w:color="AAAAAA" w:sz="1"/>
              <w:right w:val="single" w:color="AAAAAA" w:sz="1"/>
            </w:tcBorders>
            <w:shd w:fill="1B5E20"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4"/>
                <w:szCs w:val="14"/>
              </w:rPr>
              <w:t xml:space="preserve">Justificación</w:t>
            </w:r>
          </w:p>
        </w:tc>
      </w:tr>
      <w:tr>
        <w:tc>
          <w:tcPr>
            <w:tcW w:type="dxa" w:w="2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Vibro con la idea</w:t>
            </w:r>
          </w:p>
        </w:tc>
        <w:tc>
          <w:tcPr>
            <w:tcW w:type="dxa" w:w="5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8"/>
                <w:szCs w:val="18"/>
              </w:rPr>
              <w:t xml:space="preserve">5</w:t>
            </w:r>
          </w:p>
        </w:tc>
        <w:tc>
          <w:tcPr>
            <w:tcW w:type="dxa" w:w="66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Totalmente. La economía circular ganadera combina mis dos pasiones: la tecnología (Ing. Sistemas) y la gestión operativa (gerente de tienda Dismac). Además espero un hijo y quiero dejarle un negocio con propósito.</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Poseo talento</w:t>
            </w:r>
          </w:p>
        </w:tc>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8"/>
                <w:szCs w:val="18"/>
              </w:rPr>
              <w:t xml:space="preserve">5</w:t>
            </w:r>
          </w:p>
        </w:tc>
        <w:tc>
          <w:tcPr>
            <w:tcW w:type="dxa" w:w="66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Totalmente. Tengo capacidad de gestión demostrada (administro tienda con equipo de vendedores/cajeros), sé programar (Laravel, Python, n8n), y tengo disciplina para proyectos complejos (4° semestre Ing. Sistemas + trabajo full time).</w:t>
            </w:r>
          </w:p>
        </w:tc>
      </w:tr>
      <w:tr>
        <w:tc>
          <w:tcPr>
            <w:tcW w:type="dxa" w:w="2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Conocimiento en el campo</w:t>
            </w:r>
          </w:p>
        </w:tc>
        <w:tc>
          <w:tcPr>
            <w:tcW w:type="dxa" w:w="5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jc w:val="center"/>
            </w:pPr>
            <w:r>
              <w:rPr>
                <w:rFonts w:ascii="Calibri" w:cs="Calibri" w:eastAsia="Calibri" w:hAnsi="Calibri"/>
                <w:b/>
                <w:bCs/>
                <w:color w:val="2E7D32"/>
                <w:sz w:val="18"/>
                <w:szCs w:val="18"/>
              </w:rPr>
              <w:t xml:space="preserve">4</w:t>
            </w:r>
          </w:p>
        </w:tc>
        <w:tc>
          <w:tcPr>
            <w:tcW w:type="dxa" w:w="66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Alto porcentaje. Conozco la cadena ganadera por vivir en Santa Cruz y por la investigación realizada. No soy zootecnista, pero los bloques multinutricionales son una tecnología documentada con fórmulas públicas.</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Experiencia práctica</w:t>
            </w:r>
          </w:p>
        </w:tc>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57F17"/>
                <w:sz w:val="18"/>
                <w:szCs w:val="18"/>
              </w:rPr>
              <w:t xml:space="preserve">3</w:t>
            </w:r>
          </w:p>
        </w:tc>
        <w:tc>
          <w:tcPr>
            <w:tcW w:type="dxa" w:w="66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Aceptable. No he fabricado bloques ni criado BSF personalmente. Pero he gestionado inventarios, proveedores y logística en Dismac, habilidades directamente transferibles a una biofábrica.</w:t>
            </w:r>
          </w:p>
        </w:tc>
      </w:tr>
      <w:tr>
        <w:tc>
          <w:tcPr>
            <w:tcW w:type="dxa" w:w="2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Red de contactos</w:t>
            </w:r>
          </w:p>
        </w:tc>
        <w:tc>
          <w:tcPr>
            <w:tcW w:type="dxa" w:w="5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jc w:val="center"/>
            </w:pPr>
            <w:r>
              <w:rPr>
                <w:rFonts w:ascii="Calibri" w:cs="Calibri" w:eastAsia="Calibri" w:hAnsi="Calibri"/>
                <w:b/>
                <w:bCs/>
                <w:color w:val="2E7D32"/>
                <w:sz w:val="18"/>
                <w:szCs w:val="18"/>
              </w:rPr>
              <w:t xml:space="preserve">4</w:t>
            </w:r>
          </w:p>
        </w:tc>
        <w:tc>
          <w:tcPr>
            <w:tcW w:type="dxa" w:w="66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Alto. A través de Dismac y UPDS tengo acceso a la red empresarial de Santa Cruz. FEGASACRUZ es accesible, y la comunidad universitaria conecta con asesores técnicos y cooperación internacional.</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Potencial de mercado</w:t>
            </w:r>
          </w:p>
        </w:tc>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8"/>
                <w:szCs w:val="18"/>
              </w:rPr>
              <w:t xml:space="preserve">5</w:t>
            </w:r>
          </w:p>
        </w:tc>
        <w:tc>
          <w:tcPr>
            <w:tcW w:type="dxa" w:w="66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Totalmente. 4.4 millones de cabezas de ganado en SCZ. Sequía recurrente genera demanda urgente. Mercado BSF global $770M crece 32%/año. El mercado no solo existe: está desatendido.</w:t>
            </w:r>
          </w:p>
        </w:tc>
      </w:tr>
      <w:tr>
        <w:tc>
          <w:tcPr>
            <w:tcW w:type="dxa" w:w="2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Necesidades insatisfechas</w:t>
            </w:r>
          </w:p>
        </w:tc>
        <w:tc>
          <w:tcPr>
            <w:tcW w:type="dxa" w:w="5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8"/>
                <w:szCs w:val="18"/>
              </w:rPr>
              <w:t xml:space="preserve">5</w:t>
            </w:r>
          </w:p>
        </w:tc>
        <w:tc>
          <w:tcPr>
            <w:tcW w:type="dxa" w:w="66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Totalmente. No existe en Bolivia un BMN con proteína de insecto. Los ganaderos en sequía no tienen suplemento compacto y económico. Los mataderos necesitan deshacerse de sangre y vísceras.</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Conozco competencia</w:t>
            </w:r>
          </w:p>
        </w:tc>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2E7D32"/>
                <w:sz w:val="18"/>
                <w:szCs w:val="18"/>
              </w:rPr>
              <w:t xml:space="preserve">4</w:t>
            </w:r>
          </w:p>
        </w:tc>
        <w:tc>
          <w:tcPr>
            <w:tcW w:type="dxa" w:w="66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Alto. Guabirá vende materia prima suelta (no producto terminado). No hay competidor directo de BMN enriquecidos con BSF. La competencia indirecta son los balanceados comerciales (más caros).</w:t>
            </w:r>
          </w:p>
        </w:tc>
      </w:tr>
      <w:tr>
        <w:tc>
          <w:tcPr>
            <w:tcW w:type="dxa" w:w="2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Sé llegar al mercado</w:t>
            </w:r>
          </w:p>
        </w:tc>
        <w:tc>
          <w:tcPr>
            <w:tcW w:type="dxa" w:w="5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jc w:val="center"/>
            </w:pPr>
            <w:r>
              <w:rPr>
                <w:rFonts w:ascii="Calibri" w:cs="Calibri" w:eastAsia="Calibri" w:hAnsi="Calibri"/>
                <w:b/>
                <w:bCs/>
                <w:color w:val="2E7D32"/>
                <w:sz w:val="18"/>
                <w:szCs w:val="18"/>
              </w:rPr>
              <w:t xml:space="preserve">4</w:t>
            </w:r>
          </w:p>
        </w:tc>
        <w:tc>
          <w:tcPr>
            <w:tcW w:type="dxa" w:w="66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Alto. Canal directo vía FEGASACRUZ (agremia a todos los ganaderos). Ferias como Expocruz y Agropecruz. Bot de WhatsApp y asistente de voz IA (como ya implementé 'Carla' en Dismac).</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Elementos innovadores</w:t>
            </w:r>
          </w:p>
        </w:tc>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8"/>
                <w:szCs w:val="18"/>
              </w:rPr>
              <w:t xml:space="preserve">5</w:t>
            </w:r>
          </w:p>
        </w:tc>
        <w:tc>
          <w:tcPr>
            <w:tcW w:type="dxa" w:w="66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Totalmente. Triple innovación verificada: (1) Tecnológica: primera BSF en Bolivia. (2) De producto: único BMN con insecto en Sudamérica. (3) Social: socioformación de Tobón aplicada a ganaderos.</w:t>
            </w:r>
          </w:p>
        </w:tc>
      </w:tr>
      <w:tr>
        <w:tc>
          <w:tcPr>
            <w:tcW w:type="dxa" w:w="2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Consigo gente</w:t>
            </w:r>
          </w:p>
        </w:tc>
        <w:tc>
          <w:tcPr>
            <w:tcW w:type="dxa" w:w="5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jc w:val="center"/>
            </w:pPr>
            <w:r>
              <w:rPr>
                <w:rFonts w:ascii="Calibri" w:cs="Calibri" w:eastAsia="Calibri" w:hAnsi="Calibri"/>
                <w:b/>
                <w:bCs/>
                <w:color w:val="2E7D32"/>
                <w:sz w:val="18"/>
                <w:szCs w:val="18"/>
              </w:rPr>
              <w:t xml:space="preserve">4</w:t>
            </w:r>
          </w:p>
        </w:tc>
        <w:tc>
          <w:tcPr>
            <w:tcW w:type="dxa" w:w="66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Alto. SCZ tiene mano de obra disponible. El proceso de fabricación de BMN es simple y se capacita en días. Para BSF se puede contratar biólogo o capacitarse con Insectius (México) o Bioconversión (Ecuador).</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Acceso a tecnología</w:t>
            </w:r>
          </w:p>
        </w:tc>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2E7D32"/>
                <w:sz w:val="18"/>
                <w:szCs w:val="18"/>
              </w:rPr>
              <w:t xml:space="preserve">4</w:t>
            </w:r>
          </w:p>
        </w:tc>
        <w:tc>
          <w:tcPr>
            <w:tcW w:type="dxa" w:w="66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Alto. Maquinaria necesaria (molino, mezcladora, prensa) se consigue localmente o se importa de China/Brasil. Para BSF los módulos son construcciones simples. IoT con ESP32 lo puedo programar yo.</w:t>
            </w:r>
          </w:p>
        </w:tc>
      </w:tr>
      <w:tr>
        <w:tc>
          <w:tcPr>
            <w:tcW w:type="dxa" w:w="2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Consigo insumos y MP</w:t>
            </w:r>
          </w:p>
        </w:tc>
        <w:tc>
          <w:tcPr>
            <w:tcW w:type="dxa" w:w="5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8"/>
                <w:szCs w:val="18"/>
              </w:rPr>
              <w:t xml:space="preserve">5</w:t>
            </w:r>
          </w:p>
        </w:tc>
        <w:tc>
          <w:tcPr>
            <w:tcW w:type="dxa" w:w="66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Totalmente. La materia prima es RESIDUO INDUSTRIAL gratuito: melaza de Guabirá, sangre/huesos de FRIGOR, cascarilla de arroceras, afrecho de soyeras. Los mataderos incluso pagan por que se lleven sus residuos.</w:t>
            </w:r>
          </w:p>
        </w:tc>
      </w:tr>
      <w:tr>
        <w:tc>
          <w:tcPr>
            <w:tcW w:type="dxa" w:w="22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Recursos económicos</w:t>
            </w:r>
          </w:p>
        </w:tc>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F57F17"/>
                <w:sz w:val="18"/>
                <w:szCs w:val="18"/>
              </w:rPr>
              <w:t xml:space="preserve">3</w:t>
            </w:r>
          </w:p>
        </w:tc>
        <w:tc>
          <w:tcPr>
            <w:tcW w:type="dxa" w:w="66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Aceptable. La inversión ($20-35K) es alta para Bolivia. Opciones: ahorro personal + socio capitalista + crédito BDP Productivo + fondos de cooperación (Swisscontact, JICA). Arranque escalonado reduce riesgo.</w:t>
            </w:r>
          </w:p>
        </w:tc>
      </w:tr>
      <w:tr>
        <w:tc>
          <w:tcPr>
            <w:tcW w:type="dxa" w:w="22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b/>
                <w:bCs/>
                <w:color w:val="333333"/>
                <w:sz w:val="16"/>
                <w:szCs w:val="16"/>
              </w:rPr>
              <w:t xml:space="preserve">Puede ser rentable</w:t>
            </w:r>
          </w:p>
        </w:tc>
        <w:tc>
          <w:tcPr>
            <w:tcW w:type="dxa" w:w="50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18"/>
                <w:szCs w:val="18"/>
              </w:rPr>
              <w:t xml:space="preserve">5</w:t>
            </w:r>
          </w:p>
        </w:tc>
        <w:tc>
          <w:tcPr>
            <w:tcW w:type="dxa" w:w="6660"/>
            <w:tcBorders>
              <w:top w:val="single" w:color="AAAAAA" w:sz="1"/>
              <w:left w:val="single" w:color="AAAAAA" w:sz="1"/>
              <w:bottom w:val="single" w:color="AAAAAA" w:sz="1"/>
              <w:right w:val="single" w:color="AAAAAA" w:sz="1"/>
            </w:tcBorders>
            <w:shd w:fill="F1F8E9" w:val="clear"/>
            <w:tcMar>
              <w:top w:type="dxa" w:w="50"/>
              <w:left w:type="dxa" w:w="80"/>
              <w:bottom w:type="dxa" w:w="50"/>
              <w:right w:type="dxa" w:w="80"/>
            </w:tcMar>
            <w:vAlign w:val="center"/>
          </w:tcPr>
          <w:p>
            <w:pPr>
              <w:spacing w:after="100" w:line="276"/>
            </w:pPr>
            <w:r>
              <w:rPr>
                <w:rFonts w:ascii="Calibri" w:cs="Calibri" w:eastAsia="Calibri" w:hAnsi="Calibri"/>
                <w:color w:val="333333"/>
                <w:sz w:val="16"/>
                <w:szCs w:val="16"/>
              </w:rPr>
              <w:t xml:space="preserve">Totalmente. Costo/bloque Bs 40-60, venta Bs 100-150 (margen 55-65%). MP gratis. Demanda cautiva en sequía. Mercado de 4.4M cabezas. TIR estimada 40-55%. Payback 12-16 meses.</w:t>
            </w:r>
          </w:p>
        </w:tc>
      </w:tr>
    </w:tbl>
    <w:p>
      <w:pPr>
        <w:spacing w:after="160"/>
      </w:pPr>
      <w:r>
        <w:rPr>
          <w:rFonts w:ascii="Calibri" w:cs="Calibri" w:eastAsia="Calibri" w:hAnsi="Calibri"/>
          <w:color w:val="333333"/>
          <w:sz w:val="22"/>
          <w:szCs w:val="22"/>
        </w:rPr>
        <w:t xml:space="preserve"/>
      </w:r>
    </w:p>
    <w:p>
      <w:pPr>
        <w:spacing w:after="100"/>
      </w:pPr>
      <w:r>
        <w:rPr>
          <w:rFonts w:ascii="Calibri" w:cs="Calibri" w:eastAsia="Calibri" w:hAnsi="Calibri"/>
          <w:b/>
          <w:bCs/>
          <w:color w:val="424242"/>
          <w:sz w:val="24"/>
          <w:szCs w:val="24"/>
        </w:rPr>
        <w:t xml:space="preserve">Ranking final de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1500"/>
        <w:gridCol w:w="2860"/>
      </w:tblGrid>
      <w:tr>
        <w:tc>
          <w:tcPr>
            <w:tcW w:type="dxa" w:w="500"/>
            <w:tcBorders>
              <w:top w:val="single" w:color="AAAAAA" w:sz="1"/>
              <w:left w:val="single" w:color="AAAAAA" w:sz="1"/>
              <w:bottom w:val="single" w:color="AAAAAA" w:sz="1"/>
              <w:right w:val="single" w:color="AAAAAA" w:sz="1"/>
            </w:tcBorders>
            <w:shd w:fill="424242"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6"/>
                <w:szCs w:val="16"/>
              </w:rPr>
              <w:t xml:space="preserve">Pos.</w:t>
            </w:r>
          </w:p>
        </w:tc>
        <w:tc>
          <w:tcPr>
            <w:tcW w:type="dxa" w:w="4500"/>
            <w:tcBorders>
              <w:top w:val="single" w:color="AAAAAA" w:sz="1"/>
              <w:left w:val="single" w:color="AAAAAA" w:sz="1"/>
              <w:bottom w:val="single" w:color="AAAAAA" w:sz="1"/>
              <w:right w:val="single" w:color="AAAAAA" w:sz="1"/>
            </w:tcBorders>
            <w:shd w:fill="424242"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6"/>
                <w:szCs w:val="16"/>
              </w:rPr>
              <w:t xml:space="preserve">Idea</w:t>
            </w:r>
          </w:p>
        </w:tc>
        <w:tc>
          <w:tcPr>
            <w:tcW w:type="dxa" w:w="1500"/>
            <w:tcBorders>
              <w:top w:val="single" w:color="AAAAAA" w:sz="1"/>
              <w:left w:val="single" w:color="AAAAAA" w:sz="1"/>
              <w:bottom w:val="single" w:color="AAAAAA" w:sz="1"/>
              <w:right w:val="single" w:color="AAAAAA" w:sz="1"/>
            </w:tcBorders>
            <w:shd w:fill="424242"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6"/>
                <w:szCs w:val="16"/>
              </w:rPr>
              <w:t xml:space="preserve">Promedio</w:t>
            </w:r>
          </w:p>
        </w:tc>
        <w:tc>
          <w:tcPr>
            <w:tcW w:type="dxa" w:w="2860"/>
            <w:tcBorders>
              <w:top w:val="single" w:color="AAAAAA" w:sz="1"/>
              <w:left w:val="single" w:color="AAAAAA" w:sz="1"/>
              <w:bottom w:val="single" w:color="AAAAAA" w:sz="1"/>
              <w:right w:val="single" w:color="AAAAAA" w:sz="1"/>
            </w:tcBorders>
            <w:shd w:fill="424242" w:val="clear"/>
            <w:tcMar>
              <w:top w:type="dxa" w:w="50"/>
              <w:left w:type="dxa" w:w="80"/>
              <w:bottom w:type="dxa" w:w="50"/>
              <w:right w:type="dxa" w:w="80"/>
            </w:tcMar>
            <w:vAlign w:val="center"/>
          </w:tcPr>
          <w:p>
            <w:pPr>
              <w:spacing w:after="100" w:line="276"/>
            </w:pPr>
            <w:r>
              <w:rPr>
                <w:rFonts w:ascii="Calibri" w:cs="Calibri" w:eastAsia="Calibri" w:hAnsi="Calibri"/>
                <w:b/>
                <w:bCs/>
                <w:color w:val="FFFFFF"/>
                <w:sz w:val="16"/>
                <w:szCs w:val="16"/>
              </w:rPr>
              <w:t xml:space="preserve">Resultado</w:t>
            </w:r>
          </w:p>
        </w:tc>
      </w:tr>
      <w:tr>
        <w:tc>
          <w:tcPr>
            <w:tcW w:type="dxa" w:w="5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jc w:val="center"/>
            </w:pPr>
            <w:r>
              <w:rPr>
                <w:rFonts w:ascii="Calibri" w:cs="Calibri" w:eastAsia="Calibri" w:hAnsi="Calibri"/>
                <w:b/>
                <w:bCs/>
                <w:color w:val="333333"/>
                <w:sz w:val="18"/>
                <w:szCs w:val="18"/>
              </w:rPr>
              <w:t xml:space="preserve">1°</w:t>
            </w:r>
          </w:p>
        </w:tc>
        <w:tc>
          <w:tcPr>
            <w:tcW w:type="dxa" w:w="45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pPr>
            <w:r>
              <w:rPr>
                <w:rFonts w:ascii="Calibri" w:cs="Calibri" w:eastAsia="Calibri" w:hAnsi="Calibri"/>
                <w:b/>
                <w:bCs/>
                <w:color w:val="1B5E20"/>
                <w:sz w:val="18"/>
                <w:szCs w:val="18"/>
              </w:rPr>
              <w:t xml:space="preserve">BMN+BSF NutriCiclo</w:t>
            </w:r>
          </w:p>
        </w:tc>
        <w:tc>
          <w:tcPr>
            <w:tcW w:type="dxa" w:w="150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jc w:val="center"/>
            </w:pPr>
            <w:r>
              <w:rPr>
                <w:rFonts w:ascii="Calibri" w:cs="Calibri" w:eastAsia="Calibri" w:hAnsi="Calibri"/>
                <w:b/>
                <w:bCs/>
                <w:color w:val="1B5E20"/>
                <w:sz w:val="20"/>
                <w:szCs w:val="20"/>
              </w:rPr>
              <w:t xml:space="preserve">4.33</w:t>
            </w:r>
          </w:p>
        </w:tc>
        <w:tc>
          <w:tcPr>
            <w:tcW w:type="dxa" w:w="2860"/>
            <w:tcBorders>
              <w:top w:val="single" w:color="AAAAAA" w:sz="1"/>
              <w:left w:val="single" w:color="AAAAAA" w:sz="1"/>
              <w:bottom w:val="single" w:color="AAAAAA" w:sz="1"/>
              <w:right w:val="single" w:color="AAAAAA" w:sz="1"/>
            </w:tcBorders>
            <w:shd w:fill="E8F5E9" w:val="clear"/>
            <w:tcMar>
              <w:top w:type="dxa" w:w="50"/>
              <w:left w:type="dxa" w:w="80"/>
              <w:bottom w:type="dxa" w:w="50"/>
              <w:right w:type="dxa" w:w="80"/>
            </w:tcMar>
            <w:vAlign w:val="center"/>
          </w:tcPr>
          <w:p>
            <w:pPr>
              <w:spacing w:after="100" w:line="276"/>
            </w:pPr>
            <w:r>
              <w:rPr>
                <w:rFonts w:ascii="Calibri" w:cs="Calibri" w:eastAsia="Calibri" w:hAnsi="Calibri"/>
                <w:b/>
                <w:bCs/>
                <w:color w:val="1B5E20"/>
                <w:sz w:val="16"/>
                <w:szCs w:val="16"/>
              </w:rPr>
              <w:t xml:space="preserve">★ IDEA GANADORA</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333333"/>
                <w:sz w:val="18"/>
                <w:szCs w:val="18"/>
              </w:rPr>
              <w:t xml:space="preserve">2°</w:t>
            </w:r>
          </w:p>
        </w:tc>
        <w:tc>
          <w:tcPr>
            <w:tcW w:type="dxa" w:w="4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val="false"/>
                <w:bCs w:val="false"/>
                <w:color w:val="333333"/>
                <w:sz w:val="18"/>
                <w:szCs w:val="18"/>
              </w:rPr>
              <w:t xml:space="preserve">Hub NutriCiclo</w:t>
            </w:r>
          </w:p>
        </w:tc>
        <w:tc>
          <w:tcPr>
            <w:tcW w:type="dxa" w:w="1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333333"/>
                <w:sz w:val="20"/>
                <w:szCs w:val="20"/>
              </w:rPr>
              <w:t xml:space="preserve">4.27</w:t>
            </w:r>
          </w:p>
        </w:tc>
        <w:tc>
          <w:tcPr>
            <w:tcW w:type="dxa" w:w="2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val="false"/>
                <w:bCs w:val="false"/>
                <w:color w:val="666666"/>
                <w:sz w:val="16"/>
                <w:szCs w:val="16"/>
              </w:rPr>
              <w:t xml:space="preserve">Alternativa fuerte</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333333"/>
                <w:sz w:val="18"/>
                <w:szCs w:val="18"/>
              </w:rPr>
              <w:t xml:space="preserve">3°</w:t>
            </w:r>
          </w:p>
        </w:tc>
        <w:tc>
          <w:tcPr>
            <w:tcW w:type="dxa" w:w="4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val="false"/>
                <w:bCs w:val="false"/>
                <w:color w:val="333333"/>
                <w:sz w:val="18"/>
                <w:szCs w:val="18"/>
              </w:rPr>
              <w:t xml:space="preserve">Plataforma digital</w:t>
            </w:r>
          </w:p>
        </w:tc>
        <w:tc>
          <w:tcPr>
            <w:tcW w:type="dxa" w:w="1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333333"/>
                <w:sz w:val="20"/>
                <w:szCs w:val="20"/>
              </w:rPr>
              <w:t xml:space="preserve">4.27</w:t>
            </w:r>
          </w:p>
        </w:tc>
        <w:tc>
          <w:tcPr>
            <w:tcW w:type="dxa" w:w="2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val="false"/>
                <w:bCs w:val="false"/>
                <w:color w:val="666666"/>
                <w:sz w:val="16"/>
                <w:szCs w:val="16"/>
              </w:rPr>
              <w:t xml:space="preserve">Alternativa fuerte</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333333"/>
                <w:sz w:val="18"/>
                <w:szCs w:val="18"/>
              </w:rPr>
              <w:t xml:space="preserve">4°</w:t>
            </w:r>
          </w:p>
        </w:tc>
        <w:tc>
          <w:tcPr>
            <w:tcW w:type="dxa" w:w="4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val="false"/>
                <w:bCs w:val="false"/>
                <w:color w:val="333333"/>
                <w:sz w:val="18"/>
                <w:szCs w:val="18"/>
              </w:rPr>
              <w:t xml:space="preserve">BMN residuos ind.</w:t>
            </w:r>
          </w:p>
        </w:tc>
        <w:tc>
          <w:tcPr>
            <w:tcW w:type="dxa" w:w="1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333333"/>
                <w:sz w:val="20"/>
                <w:szCs w:val="20"/>
              </w:rPr>
              <w:t xml:space="preserve">4.13</w:t>
            </w:r>
          </w:p>
        </w:tc>
        <w:tc>
          <w:tcPr>
            <w:tcW w:type="dxa" w:w="2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val="false"/>
                <w:bCs w:val="false"/>
                <w:color w:val="666666"/>
                <w:sz w:val="16"/>
                <w:szCs w:val="16"/>
              </w:rPr>
              <w:t xml:space="preserve">En observación</w:t>
            </w:r>
          </w:p>
        </w:tc>
      </w:tr>
      <w:tr>
        <w:tc>
          <w:tcPr>
            <w:tcW w:type="dxa" w:w="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333333"/>
                <w:sz w:val="18"/>
                <w:szCs w:val="18"/>
              </w:rPr>
              <w:t xml:space="preserve">5°</w:t>
            </w:r>
          </w:p>
        </w:tc>
        <w:tc>
          <w:tcPr>
            <w:tcW w:type="dxa" w:w="4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val="false"/>
                <w:bCs w:val="false"/>
                <w:color w:val="333333"/>
                <w:sz w:val="18"/>
                <w:szCs w:val="18"/>
              </w:rPr>
              <w:t xml:space="preserve">Granja BSF</w:t>
            </w:r>
          </w:p>
        </w:tc>
        <w:tc>
          <w:tcPr>
            <w:tcW w:type="dxa" w:w="150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jc w:val="center"/>
            </w:pPr>
            <w:r>
              <w:rPr>
                <w:rFonts w:ascii="Calibri" w:cs="Calibri" w:eastAsia="Calibri" w:hAnsi="Calibri"/>
                <w:b/>
                <w:bCs/>
                <w:color w:val="333333"/>
                <w:sz w:val="20"/>
                <w:szCs w:val="20"/>
              </w:rPr>
              <w:t xml:space="preserve">3.60</w:t>
            </w:r>
          </w:p>
        </w:tc>
        <w:tc>
          <w:tcPr>
            <w:tcW w:type="dxa" w:w="2860"/>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vAlign w:val="center"/>
          </w:tcPr>
          <w:p>
            <w:pPr>
              <w:spacing w:after="100" w:line="276"/>
            </w:pPr>
            <w:r>
              <w:rPr>
                <w:rFonts w:ascii="Calibri" w:cs="Calibri" w:eastAsia="Calibri" w:hAnsi="Calibri"/>
                <w:b w:val="false"/>
                <w:bCs w:val="false"/>
                <w:color w:val="666666"/>
                <w:sz w:val="16"/>
                <w:szCs w:val="16"/>
              </w:rPr>
              <w:t xml:space="preserve">En observación</w:t>
            </w:r>
          </w:p>
        </w:tc>
      </w:tr>
    </w:tbl>
    <w:p>
      <w:pPr>
        <w:spacing w:after="120"/>
      </w:pPr>
      <w:r>
        <w:rPr>
          <w:rFonts w:ascii="Calibri" w:cs="Calibri" w:eastAsia="Calibri" w:hAnsi="Calibri"/>
          <w:color w:val="333333"/>
          <w:sz w:val="22"/>
          <w:szCs w:val="22"/>
        </w:rPr>
        <w:t xml:space="preserve"/>
      </w:r>
    </w:p>
    <w:p>
      <w:pPr>
        <w:spacing w:after="200"/>
      </w:pPr>
      <w:r>
        <w:rPr>
          <w:rFonts w:ascii="Calibri" w:cs="Calibri" w:eastAsia="Calibri" w:hAnsi="Calibri"/>
          <w:b/>
          <w:bCs/>
          <w:color w:val="1B5E20"/>
          <w:sz w:val="22"/>
          <w:szCs w:val="22"/>
        </w:rPr>
        <w:t xml:space="preserve">Conclusión: </w:t>
      </w:r>
      <w:r>
        <w:rPr>
          <w:rFonts w:ascii="Calibri" w:cs="Calibri" w:eastAsia="Calibri" w:hAnsi="Calibri"/>
          <w:color w:val="333333"/>
          <w:sz w:val="22"/>
          <w:szCs w:val="22"/>
        </w:rPr>
        <w:t xml:space="preserve">La idea ganadora con promedio 4.33/5.00 es </w:t>
      </w:r>
      <w:r>
        <w:rPr>
          <w:rFonts w:ascii="Calibri" w:cs="Calibri" w:eastAsia="Calibri" w:hAnsi="Calibri"/>
          <w:b/>
          <w:bCs/>
          <w:color w:val="1B5E20"/>
          <w:sz w:val="22"/>
          <w:szCs w:val="22"/>
        </w:rPr>
        <w:t xml:space="preserve">BMN+BSF NutriCiclo</w:t>
      </w:r>
      <w:r>
        <w:rPr>
          <w:rFonts w:ascii="Calibri" w:cs="Calibri" w:eastAsia="Calibri" w:hAnsi="Calibri"/>
          <w:color w:val="333333"/>
          <w:sz w:val="22"/>
          <w:szCs w:val="22"/>
        </w:rPr>
        <w:t xml:space="preserve">: Bloques Multinutricionales enriquecidos con harina proteica de mosca soldado negra, fabricados con residuos industriales de Santa Cruz (melaza, sangre, cascarilla, afrecho), en un modelo de ciclo cerrado con componente socioformativo y plataforma tecnológica. Es la idea con mayor potencial de éxito por su combinación de innovación, impacto ambiental-social y viabilidad económica.</w:t>
      </w:r>
    </w:p>
    <w:p>
      <w:pPr>
        <w:pStyle w:val="Heading2"/>
        <w:spacing w:after="80"/>
      </w:pPr>
      <w:r>
        <w:rPr>
          <w:rFonts w:ascii="Calibri" w:cs="Calibri" w:eastAsia="Calibri" w:hAnsi="Calibri"/>
          <w:b/>
          <w:bCs/>
          <w:color w:val="333333"/>
          <w:sz w:val="24"/>
          <w:szCs w:val="24"/>
        </w:rPr>
        <w:t xml:space="preserve">Referencias</w:t>
      </w:r>
    </w:p>
    <w:p>
      <w:pPr>
        <w:spacing w:after="20"/>
      </w:pPr>
      <w:r>
        <w:rPr>
          <w:rFonts w:ascii="Calibri" w:cs="Calibri" w:eastAsia="Calibri" w:hAnsi="Calibri"/>
          <w:color w:val="666666"/>
          <w:sz w:val="16"/>
          <w:szCs w:val="16"/>
        </w:rPr>
        <w:t xml:space="preserve">Muñoz Prada, P. M. (2022). Generación y evaluación de ideas de negocios. Universidad Cooperativa de Colombia.</w:t>
      </w:r>
    </w:p>
    <w:p>
      <w:pPr>
        <w:spacing w:after="20"/>
      </w:pPr>
      <w:r>
        <w:rPr>
          <w:rFonts w:ascii="Calibri" w:cs="Calibri" w:eastAsia="Calibri" w:hAnsi="Calibri"/>
          <w:color w:val="666666"/>
          <w:sz w:val="16"/>
          <w:szCs w:val="16"/>
        </w:rPr>
        <w:t xml:space="preserve">INE Bolivia — Estadísticas de ganadería y avicultura.</w:t>
      </w:r>
    </w:p>
    <w:p>
      <w:pPr>
        <w:spacing w:after="20"/>
      </w:pPr>
      <w:r>
        <w:rPr>
          <w:rFonts w:ascii="Calibri" w:cs="Calibri" w:eastAsia="Calibri" w:hAnsi="Calibri"/>
          <w:color w:val="666666"/>
          <w:sz w:val="16"/>
          <w:szCs w:val="16"/>
        </w:rPr>
        <w:t xml:space="preserve">FEGASACRUZ — Realidad Ganadera en Bolivia y Santa Cruz.</w:t>
      </w:r>
    </w:p>
    <w:p>
      <w:pPr>
        <w:spacing w:after="20"/>
      </w:pPr>
      <w:r>
        <w:rPr>
          <w:rFonts w:ascii="Calibri" w:cs="Calibri" w:eastAsia="Calibri" w:hAnsi="Calibri"/>
          <w:color w:val="666666"/>
          <w:sz w:val="16"/>
          <w:szCs w:val="16"/>
        </w:rPr>
        <w:t xml:space="preserve">IBCE — Santa Cruz consolida su liderazgo ganadero (2021).</w:t>
      </w:r>
    </w:p>
    <w:p>
      <w:pPr>
        <w:spacing w:after="20"/>
      </w:pPr>
      <w:r>
        <w:rPr>
          <w:rFonts w:ascii="Calibri" w:cs="Calibri" w:eastAsia="Calibri" w:hAnsi="Calibri"/>
          <w:color w:val="666666"/>
          <w:sz w:val="16"/>
          <w:szCs w:val="16"/>
        </w:rPr>
        <w:t xml:space="preserve">SDSN Bolivia — Emisiones de GEI por la ganadería en Bolivia (2025).</w:t>
      </w:r>
    </w:p>
    <w:p>
      <w:pPr>
        <w:spacing w:after="20"/>
      </w:pPr>
      <w:r>
        <w:rPr>
          <w:rFonts w:ascii="Calibri" w:cs="Calibri" w:eastAsia="Calibri" w:hAnsi="Calibri"/>
          <w:color w:val="666666"/>
          <w:sz w:val="16"/>
          <w:szCs w:val="16"/>
        </w:rPr>
        <w:t xml:space="preserve">Contacto Económico — Guabirá y FEGASACRUZ: melaza y bagazo (2022).</w:t>
      </w:r>
    </w:p>
    <w:p>
      <w:pPr>
        <w:spacing w:after="20"/>
      </w:pPr>
      <w:r>
        <w:rPr>
          <w:rFonts w:ascii="Calibri" w:cs="Calibri" w:eastAsia="Calibri" w:hAnsi="Calibri"/>
          <w:color w:val="666666"/>
          <w:sz w:val="16"/>
          <w:szCs w:val="16"/>
        </w:rPr>
        <w:t xml:space="preserve">Bloomberg Línea — Bioconversión S.A., Ecuador (2021).</w:t>
      </w:r>
    </w:p>
    <w:p>
      <w:pPr>
        <w:spacing w:after="20"/>
      </w:pPr>
      <w:r>
        <w:rPr>
          <w:rFonts w:ascii="Calibri" w:cs="Calibri" w:eastAsia="Calibri" w:hAnsi="Calibri"/>
          <w:color w:val="666666"/>
          <w:sz w:val="16"/>
          <w:szCs w:val="16"/>
        </w:rPr>
        <w:t xml:space="preserve">Business Research Insights — BSF Market Report 2025-2035.</w:t>
      </w:r>
    </w:p>
    <w:p>
      <w:pPr>
        <w:spacing w:after="20"/>
      </w:pPr>
      <w:r>
        <w:rPr>
          <w:rFonts w:ascii="Calibri" w:cs="Calibri" w:eastAsia="Calibri" w:hAnsi="Calibri"/>
          <w:color w:val="666666"/>
          <w:sz w:val="16"/>
          <w:szCs w:val="16"/>
        </w:rPr>
        <w:t xml:space="preserve">Agrotendencia — Bloques multinutricionales (2025).</w:t>
      </w:r>
    </w:p>
    <w:p>
      <w:pPr>
        <w:spacing w:after="20"/>
      </w:pPr>
      <w:r>
        <w:rPr>
          <w:rFonts w:ascii="Calibri" w:cs="Calibri" w:eastAsia="Calibri" w:hAnsi="Calibri"/>
          <w:color w:val="666666"/>
          <w:sz w:val="16"/>
          <w:szCs w:val="16"/>
        </w:rPr>
        <w:t xml:space="preserve">Fedegán Colombia — Fabricación de BMN (2024).</w:t>
      </w:r>
    </w:p>
    <w:p>
      <w:pPr>
        <w:spacing w:after="20"/>
      </w:pPr>
      <w:r>
        <w:rPr>
          <w:rFonts w:ascii="Calibri" w:cs="Calibri" w:eastAsia="Calibri" w:hAnsi="Calibri"/>
          <w:color w:val="666666"/>
          <w:sz w:val="16"/>
          <w:szCs w:val="16"/>
        </w:rPr>
        <w:t xml:space="preserve">Banco Mundial — PIB Bolivia (2024).</w:t>
      </w:r>
    </w:p>
    <w:p>
      <w:pPr>
        <w:spacing w:after="20"/>
      </w:pPr>
      <w:r>
        <w:rPr>
          <w:rFonts w:ascii="Calibri" w:cs="Calibri" w:eastAsia="Calibri" w:hAnsi="Calibri"/>
          <w:color w:val="666666"/>
          <w:sz w:val="16"/>
          <w:szCs w:val="16"/>
        </w:rPr>
        <w:t xml:space="preserve">Guía para Emprendimientos Circulares 2026 — UPDS.</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2026-03-18T01:20:53.159Z</dcterms:created>
  <dcterms:modified xsi:type="dcterms:W3CDTF">2026-03-18T01:20:53.160Z</dcterms:modified>
</cp:coreProperties>
</file>

<file path=docProps/custom.xml><?xml version="1.0" encoding="utf-8"?>
<Properties xmlns="http://schemas.openxmlformats.org/officeDocument/2006/custom-properties" xmlns:vt="http://schemas.openxmlformats.org/officeDocument/2006/docPropsVTypes"/>
</file>