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80" w:before="80"/>
        <w:jc w:val="center"/>
      </w:pPr>
      <w:r>
        <w:rPr>
          <w:rFonts w:ascii="Arial" w:cs="Arial" w:eastAsia="Arial" w:hAnsi="Arial"/>
          <w:b/>
          <w:bCs/>
          <w:i w:val="false"/>
          <w:iCs w:val="false"/>
          <w:sz w:val="26"/>
          <w:szCs w:val="26"/>
        </w:rPr>
        <w:t xml:space="preserve">UNIVERSIDAD PRIVADA DOMINGO SAVIO</w:t>
      </w:r>
    </w:p>
    <w:p>
      <w:pPr>
        <w:spacing w:after="80" w:before="80"/>
        <w:jc w:val="center"/>
      </w:pPr>
      <w:r>
        <w:rPr>
          <w:rFonts w:ascii="Arial" w:cs="Arial" w:eastAsia="Arial" w:hAnsi="Arial"/>
          <w:b/>
          <w:bCs/>
          <w:i w:val="false"/>
          <w:iCs w:val="false"/>
          <w:sz w:val="24"/>
          <w:szCs w:val="24"/>
        </w:rPr>
        <w:t xml:space="preserve">FACULTAD DE CIENCIAS EMPRESARIALES</w:t>
      </w:r>
    </w:p>
    <w:p>
      <w:r>
        <w:t xml:space="preserve"/>
      </w:r>
    </w:p>
    <w:p>
      <w:r>
        <w:t xml:space="preserve"/>
      </w:r>
    </w:p>
    <w:p>
      <w:r>
        <w:t xml:space="preserve"/>
      </w:r>
    </w:p>
    <w:p>
      <w:pPr>
        <w:spacing w:after="80" w:before="80"/>
        <w:jc w:val="center"/>
      </w:pPr>
      <w:r>
        <w:rPr>
          <w:rFonts w:ascii="Arial" w:cs="Arial" w:eastAsia="Arial" w:hAnsi="Arial"/>
          <w:b/>
          <w:bCs/>
          <w:i/>
          <w:iCs/>
          <w:sz w:val="22"/>
          <w:szCs w:val="22"/>
        </w:rPr>
        <w:t xml:space="preserve">PROYECTO SOCIOFORMATIVO</w:t>
      </w:r>
    </w:p>
    <w:p>
      <w:r>
        <w:t xml:space="preserve"/>
      </w:r>
    </w:p>
    <w:p>
      <w:pPr>
        <w:spacing w:after="80" w:before="80"/>
        <w:jc w:val="center"/>
      </w:pPr>
      <w:r>
        <w:rPr>
          <w:rFonts w:ascii="Arial" w:cs="Arial" w:eastAsia="Arial" w:hAnsi="Arial"/>
          <w:b/>
          <w:bCs/>
          <w:i w:val="false"/>
          <w:iCs w:val="false"/>
          <w:sz w:val="28"/>
          <w:szCs w:val="28"/>
        </w:rPr>
        <w:t xml:space="preserve">"NUTRICICLO SCZ: PRODUCCIÓN DE BLOQUES MULTINUTRICIONALES</w:t>
      </w:r>
    </w:p>
    <w:p>
      <w:pPr>
        <w:spacing w:after="80" w:before="80"/>
        <w:jc w:val="center"/>
      </w:pPr>
      <w:r>
        <w:rPr>
          <w:rFonts w:ascii="Arial" w:cs="Arial" w:eastAsia="Arial" w:hAnsi="Arial"/>
          <w:b/>
          <w:bCs/>
          <w:i w:val="false"/>
          <w:iCs w:val="false"/>
          <w:sz w:val="28"/>
          <w:szCs w:val="28"/>
        </w:rPr>
        <w:t xml:space="preserve">A PARTIR DE RESIDUOS ORGÁNICOS PARA GANADO"</w:t>
      </w:r>
    </w:p>
    <w:p>
      <w:r>
        <w:t xml:space="preserve"/>
      </w:r>
    </w:p>
    <w:p>
      <w:r>
        <w:t xml:space="preserve"/>
      </w:r>
    </w:p>
    <w:p>
      <w:pPr>
        <w:spacing w:after="80" w:before="80"/>
        <w:jc w:val="center"/>
      </w:pPr>
      <w:r>
        <w:rPr>
          <w:rFonts w:ascii="Arial" w:cs="Arial" w:eastAsia="Arial" w:hAnsi="Arial"/>
          <w:b w:val="false"/>
          <w:bCs w:val="false"/>
          <w:i w:val="false"/>
          <w:iCs w:val="false"/>
          <w:sz w:val="22"/>
          <w:szCs w:val="22"/>
        </w:rPr>
        <w:t xml:space="preserve">Asignatura: EMPRENDEDURISMO</w:t>
      </w:r>
    </w:p>
    <w:p>
      <w:pPr>
        <w:spacing w:after="80" w:before="80"/>
        <w:jc w:val="center"/>
      </w:pPr>
      <w:r>
        <w:rPr>
          <w:rFonts w:ascii="Arial" w:cs="Arial" w:eastAsia="Arial" w:hAnsi="Arial"/>
          <w:b w:val="false"/>
          <w:bCs w:val="false"/>
          <w:i w:val="false"/>
          <w:iCs w:val="false"/>
          <w:sz w:val="22"/>
          <w:szCs w:val="22"/>
        </w:rPr>
        <w:t xml:space="preserve">Módulo 02 – 2026</w:t>
      </w:r>
    </w:p>
    <w:p>
      <w:pPr>
        <w:spacing w:after="80" w:before="80"/>
        <w:jc w:val="center"/>
      </w:pPr>
      <w:r>
        <w:rPr>
          <w:rFonts w:ascii="Arial" w:cs="Arial" w:eastAsia="Arial" w:hAnsi="Arial"/>
          <w:b w:val="false"/>
          <w:bCs w:val="false"/>
          <w:i w:val="false"/>
          <w:iCs w:val="false"/>
          <w:sz w:val="22"/>
          <w:szCs w:val="22"/>
        </w:rPr>
        <w:t xml:space="preserve">Docente: Msc. Lic. Mary Cruz Sarzuri C.</w:t>
      </w:r>
    </w:p>
    <w:p>
      <w:r>
        <w:t xml:space="preserve"/>
      </w:r>
    </w:p>
    <w:p>
      <w:r>
        <w:t xml:space="preserve"/>
      </w:r>
    </w:p>
    <w:p>
      <w:pPr>
        <w:spacing w:after="80" w:before="80"/>
        <w:jc w:val="center"/>
      </w:pPr>
      <w:r>
        <w:rPr>
          <w:rFonts w:ascii="Arial" w:cs="Arial" w:eastAsia="Arial" w:hAnsi="Arial"/>
          <w:b/>
          <w:bCs/>
          <w:i w:val="false"/>
          <w:iCs w:val="false"/>
          <w:sz w:val="22"/>
          <w:szCs w:val="22"/>
        </w:rPr>
        <w:t xml:space="preserve">INTEGRANTES:</w:t>
      </w:r>
    </w:p>
    <w:p>
      <w:pPr>
        <w:spacing w:after="80" w:before="80"/>
        <w:jc w:val="center"/>
      </w:pPr>
      <w:r>
        <w:rPr>
          <w:rFonts w:ascii="Arial" w:cs="Arial" w:eastAsia="Arial" w:hAnsi="Arial"/>
          <w:b w:val="false"/>
          <w:bCs w:val="false"/>
          <w:i w:val="false"/>
          <w:iCs w:val="false"/>
          <w:sz w:val="22"/>
          <w:szCs w:val="22"/>
        </w:rPr>
        <w:t xml:space="preserve">Douglas Flor Hernandez</w:t>
      </w:r>
    </w:p>
    <w:p>
      <w:pPr>
        <w:spacing w:after="80" w:before="80"/>
        <w:jc w:val="center"/>
      </w:pPr>
      <w:r>
        <w:rPr>
          <w:rFonts w:ascii="Arial" w:cs="Arial" w:eastAsia="Arial" w:hAnsi="Arial"/>
          <w:b w:val="false"/>
          <w:bCs w:val="false"/>
          <w:i w:val="false"/>
          <w:iCs w:val="false"/>
          <w:sz w:val="22"/>
          <w:szCs w:val="22"/>
        </w:rPr>
        <w:t xml:space="preserve">Joel Francisco Miranda Dominguez</w:t>
      </w:r>
    </w:p>
    <w:p>
      <w:pPr>
        <w:spacing w:after="80" w:before="80"/>
        <w:jc w:val="center"/>
      </w:pPr>
      <w:r>
        <w:rPr>
          <w:rFonts w:ascii="Arial" w:cs="Arial" w:eastAsia="Arial" w:hAnsi="Arial"/>
          <w:b w:val="false"/>
          <w:bCs w:val="false"/>
          <w:i w:val="false"/>
          <w:iCs w:val="false"/>
          <w:sz w:val="22"/>
          <w:szCs w:val="22"/>
        </w:rPr>
        <w:t xml:space="preserve">Luis Mario Rocha Vela</w:t>
      </w:r>
    </w:p>
    <w:p>
      <w:pPr>
        <w:spacing w:after="80" w:before="80"/>
        <w:jc w:val="center"/>
      </w:pPr>
      <w:r>
        <w:rPr>
          <w:rFonts w:ascii="Arial" w:cs="Arial" w:eastAsia="Arial" w:hAnsi="Arial"/>
          <w:b w:val="false"/>
          <w:bCs w:val="false"/>
          <w:i w:val="false"/>
          <w:iCs w:val="false"/>
          <w:sz w:val="22"/>
          <w:szCs w:val="22"/>
        </w:rPr>
        <w:t xml:space="preserve">María Rene Ortiz Justiniano</w:t>
      </w:r>
    </w:p>
    <w:p>
      <w:pPr>
        <w:spacing w:after="80" w:before="80"/>
        <w:jc w:val="center"/>
      </w:pPr>
      <w:r>
        <w:rPr>
          <w:rFonts w:ascii="Arial" w:cs="Arial" w:eastAsia="Arial" w:hAnsi="Arial"/>
          <w:b w:val="false"/>
          <w:bCs w:val="false"/>
          <w:i w:val="false"/>
          <w:iCs w:val="false"/>
          <w:sz w:val="22"/>
          <w:szCs w:val="22"/>
        </w:rPr>
        <w:t xml:space="preserve">Leonardo Peña Añez</w:t>
      </w:r>
    </w:p>
    <w:p>
      <w:r>
        <w:t xml:space="preserve"/>
      </w:r>
    </w:p>
    <w:p>
      <w:r>
        <w:t xml:space="preserve"/>
      </w:r>
    </w:p>
    <w:p>
      <w:r>
        <w:t xml:space="preserve"/>
      </w:r>
    </w:p>
    <w:p>
      <w:pPr>
        <w:spacing w:after="80" w:before="80"/>
        <w:jc w:val="center"/>
      </w:pPr>
      <w:r>
        <w:rPr>
          <w:rFonts w:ascii="Arial" w:cs="Arial" w:eastAsia="Arial" w:hAnsi="Arial"/>
          <w:b w:val="false"/>
          <w:bCs w:val="false"/>
          <w:i w:val="false"/>
          <w:iCs w:val="false"/>
          <w:sz w:val="22"/>
          <w:szCs w:val="22"/>
        </w:rPr>
        <w:t xml:space="preserve">Santa Cruz de la Sierra – Bolivia</w:t>
      </w:r>
    </w:p>
    <w:p>
      <w:pPr>
        <w:spacing w:after="80" w:before="80"/>
        <w:jc w:val="center"/>
      </w:pPr>
      <w:r>
        <w:rPr>
          <w:rFonts w:ascii="Arial" w:cs="Arial" w:eastAsia="Arial" w:hAnsi="Arial"/>
          <w:b w:val="false"/>
          <w:bCs w:val="false"/>
          <w:i w:val="false"/>
          <w:iCs w:val="false"/>
          <w:sz w:val="22"/>
          <w:szCs w:val="22"/>
        </w:rPr>
        <w:t xml:space="preserve">2026</w:t>
      </w:r>
    </w:p>
    <w:p>
      <w:r>
        <w:br w:type="page"/>
      </w:r>
    </w:p>
    <w:p>
      <w:pPr>
        <w:pStyle w:val="Heading1"/>
        <w:spacing w:after="120" w:before="300"/>
      </w:pPr>
      <w:r>
        <w:rPr>
          <w:rFonts w:ascii="Arial" w:cs="Arial" w:eastAsia="Arial" w:hAnsi="Arial"/>
          <w:b/>
          <w:bCs/>
          <w:color w:val="1B5E20"/>
          <w:sz w:val="28"/>
          <w:szCs w:val="28"/>
        </w:rPr>
        <w:t xml:space="preserve">RESUMEN</w:t>
      </w:r>
    </w:p>
    <w:p>
      <w:pPr>
        <w:spacing w:after="80" w:before="80"/>
        <w:jc w:val="both"/>
      </w:pPr>
      <w:r>
        <w:rPr>
          <w:rFonts w:ascii="Arial" w:cs="Arial" w:eastAsia="Arial" w:hAnsi="Arial"/>
          <w:b w:val="false"/>
          <w:bCs w:val="false"/>
          <w:i w:val="false"/>
          <w:iCs w:val="false"/>
          <w:sz w:val="22"/>
          <w:szCs w:val="22"/>
        </w:rPr>
        <w:t xml:space="preserve">NutriCiclo SCZ es un proyecto socioformativo que propone el diseño de un modelo de negocio basado en economía circular para la producción de bloques multinutricionales (BMN) destinados a ganado bovino, elaborados a partir de residuos orgánicos de mataderos y proteína de insecto (Black Soldier Fly) en Santa Cruz de la Sierra, Bolivia. El objetivo del proyecto es transformar un problema ambiental —la disposición inadecuada de residuos agroindustriales— en una solución productiva que atienda la necesidad crítica de suplementación ganadera durante la época de sequía.</w:t>
      </w:r>
    </w:p>
    <w:p>
      <w:pPr>
        <w:spacing w:after="80" w:before="80"/>
        <w:jc w:val="both"/>
      </w:pPr>
      <w:r>
        <w:rPr>
          <w:rFonts w:ascii="Arial" w:cs="Arial" w:eastAsia="Arial" w:hAnsi="Arial"/>
          <w:b w:val="false"/>
          <w:bCs w:val="false"/>
          <w:i w:val="false"/>
          <w:iCs w:val="false"/>
          <w:sz w:val="22"/>
          <w:szCs w:val="22"/>
        </w:rPr>
        <w:t xml:space="preserve">El desarrollo se realizó bajo el modelo por competencias, aplicando metodologías activas como el aprendizaje basado en proyectos (ABP), el Modelo Canvas y el análisis de circularidad, con apoyo de herramientas de Inteligencia Artificial para la estructuración, análisis de datos y toma de decisiones. El método combinó un enfoque cualitativo-cuantitativo, empleando encuestas a ganaderos medianos del norte integrado, entrevistas semiestructuradas, observación de procesos y análisis documental.</w:t>
      </w:r>
    </w:p>
    <w:p>
      <w:pPr>
        <w:spacing w:after="80" w:before="80"/>
        <w:jc w:val="both"/>
      </w:pPr>
      <w:r>
        <w:rPr>
          <w:rFonts w:ascii="Arial" w:cs="Arial" w:eastAsia="Arial" w:hAnsi="Arial"/>
          <w:b w:val="false"/>
          <w:bCs w:val="false"/>
          <w:i w:val="false"/>
          <w:iCs w:val="false"/>
          <w:sz w:val="22"/>
          <w:szCs w:val="22"/>
        </w:rPr>
        <w:t xml:space="preserve">Los principales resultados confirman la viabilidad del emprendimiento: el 78,6% de los encuestados mostró interés en el producto, el 64,3% manifestó disposición a pagar Bs 100 o más por bloque de 25 kg, y los indicadores financieros arrojan un VAN positivo de Bs 1.852.340, una TIR del 78,4% y un período de recuperación inferior a dos años. Se concluye que NutriCiclo SCZ representa una alternativa innovadora, sostenible y financieramente viable para el sector ganadero cruceño, con potencial de replicabilidad en otras regiones del país.</w:t>
      </w:r>
    </w:p>
    <w:p>
      <w:r>
        <w:t xml:space="preserve"/>
      </w:r>
    </w:p>
    <w:p>
      <w:pPr>
        <w:spacing w:after="80" w:before="80"/>
        <w:jc w:val="left"/>
      </w:pPr>
      <w:r>
        <w:rPr>
          <w:rFonts w:ascii="Arial" w:cs="Arial" w:eastAsia="Arial" w:hAnsi="Arial"/>
          <w:b/>
          <w:bCs/>
          <w:sz w:val="22"/>
          <w:szCs w:val="22"/>
        </w:rPr>
        <w:t xml:space="preserve">Palabras clave: </w:t>
      </w:r>
      <w:r>
        <w:rPr>
          <w:rFonts w:ascii="Arial" w:cs="Arial" w:eastAsia="Arial" w:hAnsi="Arial"/>
          <w:sz w:val="22"/>
          <w:szCs w:val="22"/>
        </w:rPr>
        <w:t xml:space="preserve">bloques multinutricionales, economía circular, mosca soldado negra, suplementación ganadera, sostenibilidad</w:t>
      </w:r>
    </w:p>
    <w:p>
      <w:pPr>
        <w:pBdr>
          <w:bottom w:val="single" w:color="4CAF50" w:sz="4" w:space="1"/>
        </w:pBdr>
        <w:spacing w:after="120" w:before="120"/>
      </w:pPr>
    </w:p>
    <w:p>
      <w:pPr>
        <w:pStyle w:val="Heading1"/>
        <w:spacing w:after="120" w:before="300"/>
      </w:pPr>
      <w:r>
        <w:rPr>
          <w:rFonts w:ascii="Arial" w:cs="Arial" w:eastAsia="Arial" w:hAnsi="Arial"/>
          <w:b/>
          <w:bCs/>
          <w:color w:val="1B5E20"/>
          <w:sz w:val="28"/>
          <w:szCs w:val="28"/>
        </w:rPr>
        <w:t xml:space="preserve">1. INTRODUCCIÓN</w:t>
      </w:r>
    </w:p>
    <w:p>
      <w:pPr>
        <w:spacing w:after="80" w:before="80"/>
        <w:jc w:val="both"/>
      </w:pPr>
      <w:r>
        <w:rPr>
          <w:rFonts w:ascii="Arial" w:cs="Arial" w:eastAsia="Arial" w:hAnsi="Arial"/>
          <w:b w:val="false"/>
          <w:bCs w:val="false"/>
          <w:i w:val="false"/>
          <w:iCs w:val="false"/>
          <w:sz w:val="22"/>
          <w:szCs w:val="22"/>
        </w:rPr>
        <w:t xml:space="preserve">En regiones productivas como Santa Cruz de la Sierra, el crecimiento de la actividad agroindustrial y ganadera ha incrementado la generación de residuos orgánicos, especialmente de mataderos. Cuando estos no se gestionan adecuadamente, provocan contaminación de suelos y fuentes hídricas, además de emisiones que afectan el entorno.</w:t>
      </w:r>
    </w:p>
    <w:p>
      <w:pPr>
        <w:spacing w:after="80" w:before="80"/>
        <w:jc w:val="both"/>
      </w:pPr>
      <w:r>
        <w:rPr>
          <w:rFonts w:ascii="Arial" w:cs="Arial" w:eastAsia="Arial" w:hAnsi="Arial"/>
          <w:b w:val="false"/>
          <w:bCs w:val="false"/>
          <w:i w:val="false"/>
          <w:iCs w:val="false"/>
          <w:sz w:val="22"/>
          <w:szCs w:val="22"/>
        </w:rPr>
        <w:t xml:space="preserve">Ante esta problemática, la economía circular se presenta como una alternativa que permite transformar estos residuos en recursos útiles, cerrando ciclos productivos y generando valor. En el sector ganadero, esto cobra mayor relevancia debido a la necesidad de soluciones sostenibles y accesibles para la alimentación animal, especialmente en épocas de sequía.</w:t>
      </w:r>
    </w:p>
    <w:p>
      <w:pPr>
        <w:pStyle w:val="Heading2"/>
        <w:spacing w:after="100" w:before="240"/>
      </w:pPr>
      <w:r>
        <w:rPr>
          <w:rFonts w:ascii="Arial" w:cs="Arial" w:eastAsia="Arial" w:hAnsi="Arial"/>
          <w:b/>
          <w:bCs/>
          <w:color w:val="2E7D32"/>
          <w:sz w:val="24"/>
          <w:szCs w:val="24"/>
        </w:rPr>
        <w:t xml:space="preserve">1.1 Planteamiento del Problema</w:t>
      </w:r>
    </w:p>
    <w:p>
      <w:pPr>
        <w:spacing w:after="80" w:before="80"/>
        <w:jc w:val="both"/>
      </w:pPr>
      <w:r>
        <w:rPr>
          <w:rFonts w:ascii="Arial" w:cs="Arial" w:eastAsia="Arial" w:hAnsi="Arial"/>
          <w:b w:val="false"/>
          <w:bCs w:val="false"/>
          <w:i w:val="false"/>
          <w:iCs w:val="false"/>
          <w:sz w:val="22"/>
          <w:szCs w:val="22"/>
        </w:rPr>
        <w:t xml:space="preserve">En el departamento de Santa Cruz, específicamente en las regiones de la Chiquitanía y el Norte Integrado, el sector ganadero se enfrenta anualmente a un fenómeno devastador que pone en riesgo la seguridad alimentaria del hato: la sequía severa. Aunque para un habitante de la ciudad el cambio de estación solo implica un descenso de temperatura, para el productor rural los meses de junio, julio, agosto y septiembre representan una crisis de supervivencia donde el agua desaparece y la tierra se vuelve incapaz de sostener la vida vegetal.</w:t>
      </w:r>
    </w:p>
    <w:p>
      <w:pPr>
        <w:spacing w:after="80" w:before="80"/>
        <w:jc w:val="both"/>
      </w:pPr>
      <w:r>
        <w:rPr>
          <w:rFonts w:ascii="Arial" w:cs="Arial" w:eastAsia="Arial" w:hAnsi="Arial"/>
          <w:b w:val="false"/>
          <w:bCs w:val="false"/>
          <w:i w:val="false"/>
          <w:iCs w:val="false"/>
          <w:sz w:val="22"/>
          <w:szCs w:val="22"/>
        </w:rPr>
        <w:t xml:space="preserve">Durante el estiaje prolongado, la falta de lluvia transforma los potreros en extensiones de forraje seco y fibroso. A simple vista, el campo puede parecer cubierto, pero es un "pasto engañoso": al no haber humedad, el crecimiento se detiene y los nutrientes desaparecen. El ganado, al consumir esta paja seca, se llena físicamente pero se desnutre internamente, perdiendo masa muscular y disminuyendo drásticamente la producción de leche.</w:t>
      </w:r>
    </w:p>
    <w:p>
      <w:pPr>
        <w:spacing w:after="80" w:before="80"/>
        <w:jc w:val="both"/>
      </w:pPr>
      <w:r>
        <w:rPr>
          <w:rFonts w:ascii="Arial" w:cs="Arial" w:eastAsia="Arial" w:hAnsi="Arial"/>
          <w:b w:val="false"/>
          <w:bCs w:val="false"/>
          <w:i w:val="false"/>
          <w:iCs w:val="false"/>
          <w:sz w:val="22"/>
          <w:szCs w:val="22"/>
        </w:rPr>
        <w:t xml:space="preserve">Esta sequía se ve agravada por dos factores críticos. Primero, la llegada de los "surazos" e inviernos secos detiene por completo el desarrollo foliar. Segundo, el peligro latente de los incendios forestales, que cuando arrasan los potreros secos, dejan al productor sin margen de maniobra y dependiendo totalmente de insumos externos.</w:t>
      </w:r>
    </w:p>
    <w:p>
      <w:pPr>
        <w:spacing w:after="80" w:before="80"/>
        <w:jc w:val="both"/>
      </w:pPr>
      <w:r>
        <w:rPr>
          <w:rFonts w:ascii="Arial" w:cs="Arial" w:eastAsia="Arial" w:hAnsi="Arial"/>
          <w:b w:val="false"/>
          <w:bCs w:val="false"/>
          <w:i w:val="false"/>
          <w:iCs w:val="false"/>
          <w:sz w:val="22"/>
          <w:szCs w:val="22"/>
        </w:rPr>
        <w:t xml:space="preserve">La dependencia de suplementos externos genera un golpe crítico al bolsillo. Un solo rollo de pasto llega a costar entre Bs 250 y Bs 280, durando apenas unos días para un hato de 30 a 35 cabezas. Mantener un hato pequeño puede superar los Bs 800 mensuales solo en forraje. Más allá del dinero, existe un desgaste humano extremo por la logística ineficiente de preparación manual de mezclas.</w:t>
      </w:r>
    </w:p>
    <w:p>
      <w:pPr>
        <w:pStyle w:val="Heading2"/>
        <w:spacing w:after="100" w:before="240"/>
      </w:pPr>
      <w:r>
        <w:rPr>
          <w:rFonts w:ascii="Arial" w:cs="Arial" w:eastAsia="Arial" w:hAnsi="Arial"/>
          <w:b/>
          <w:bCs/>
          <w:color w:val="2E7D32"/>
          <w:sz w:val="24"/>
          <w:szCs w:val="24"/>
        </w:rPr>
        <w:t xml:space="preserve">1.2 Justificación</w:t>
      </w:r>
    </w:p>
    <w:p>
      <w:pPr>
        <w:spacing w:after="80" w:before="80"/>
        <w:jc w:val="both"/>
      </w:pPr>
      <w:r>
        <w:rPr>
          <w:rFonts w:ascii="Arial" w:cs="Arial" w:eastAsia="Arial" w:hAnsi="Arial"/>
          <w:b w:val="false"/>
          <w:bCs w:val="false"/>
          <w:i w:val="false"/>
          <w:iCs w:val="false"/>
          <w:sz w:val="22"/>
          <w:szCs w:val="22"/>
        </w:rPr>
        <w:t xml:space="preserve">Ante este panorama, el ganadero cruceño se encuentra atrapado entre la subida de precios de los insumos y la fragilidad biológica de sus animales. Existe una necesidad urgente de un método de suplementación que sea resistente a las condiciones climáticas, que no dependa de la preparación de mezclas diarias en el campo y que garantice un aporte nutricional constante.</w:t>
      </w:r>
    </w:p>
    <w:p>
      <w:pPr>
        <w:pStyle w:val="Heading2"/>
        <w:spacing w:after="100" w:before="240"/>
      </w:pPr>
      <w:r>
        <w:rPr>
          <w:rFonts w:ascii="Arial" w:cs="Arial" w:eastAsia="Arial" w:hAnsi="Arial"/>
          <w:b/>
          <w:bCs/>
          <w:color w:val="2E7D32"/>
          <w:sz w:val="24"/>
          <w:szCs w:val="24"/>
        </w:rPr>
        <w:t xml:space="preserve">1.3 Objetivo</w:t>
      </w:r>
    </w:p>
    <w:p>
      <w:pPr>
        <w:spacing w:after="80" w:before="80"/>
        <w:jc w:val="both"/>
      </w:pPr>
      <w:r>
        <w:rPr>
          <w:rFonts w:ascii="Arial" w:cs="Arial" w:eastAsia="Arial" w:hAnsi="Arial"/>
          <w:b w:val="false"/>
          <w:bCs w:val="false"/>
          <w:i w:val="false"/>
          <w:iCs w:val="false"/>
          <w:sz w:val="22"/>
          <w:szCs w:val="22"/>
        </w:rPr>
        <w:t xml:space="preserve">Diseñar un modelo de negocio circular que aproveche residuos orgánicos para la producción de bloques multinutricionales (BMN) para ganado bovino, generando impacto ambiental positivo y beneficios económicos en Santa Cruz de la Sierra.</w:t>
      </w:r>
    </w:p>
    <w:p>
      <w:pPr>
        <w:pBdr>
          <w:bottom w:val="single" w:color="4CAF50" w:sz="4" w:space="1"/>
        </w:pBdr>
        <w:spacing w:after="120" w:before="120"/>
      </w:pPr>
    </w:p>
    <w:p>
      <w:pPr>
        <w:pStyle w:val="Heading1"/>
        <w:spacing w:after="120" w:before="300"/>
      </w:pPr>
      <w:r>
        <w:rPr>
          <w:rFonts w:ascii="Arial" w:cs="Arial" w:eastAsia="Arial" w:hAnsi="Arial"/>
          <w:b/>
          <w:bCs/>
          <w:color w:val="1B5E20"/>
          <w:sz w:val="28"/>
          <w:szCs w:val="28"/>
        </w:rPr>
        <w:t xml:space="preserve">2. MÉTODOS</w:t>
      </w:r>
    </w:p>
    <w:p>
      <w:pPr>
        <w:pStyle w:val="Heading2"/>
        <w:spacing w:after="100" w:before="240"/>
      </w:pPr>
      <w:r>
        <w:rPr>
          <w:rFonts w:ascii="Arial" w:cs="Arial" w:eastAsia="Arial" w:hAnsi="Arial"/>
          <w:b/>
          <w:bCs/>
          <w:color w:val="2E7D32"/>
          <w:sz w:val="24"/>
          <w:szCs w:val="24"/>
        </w:rPr>
        <w:t xml:space="preserve">2.1 Enfoque y Tipo de Estudio</w:t>
      </w:r>
    </w:p>
    <w:p>
      <w:pPr>
        <w:pStyle w:val="Heading3"/>
        <w:spacing w:after="80" w:before="180"/>
      </w:pPr>
      <w:r>
        <w:rPr>
          <w:rFonts w:ascii="Arial" w:cs="Arial" w:eastAsia="Arial" w:hAnsi="Arial"/>
          <w:b/>
          <w:bCs/>
          <w:color w:val="388E3C"/>
          <w:sz w:val="22"/>
          <w:szCs w:val="22"/>
        </w:rPr>
        <w:t xml:space="preserve">Enfoque metodológico</w:t>
      </w:r>
    </w:p>
    <w:p>
      <w:pPr>
        <w:spacing w:after="80" w:before="80"/>
        <w:jc w:val="both"/>
      </w:pPr>
      <w:r>
        <w:rPr>
          <w:rFonts w:ascii="Arial" w:cs="Arial" w:eastAsia="Arial" w:hAnsi="Arial"/>
          <w:b w:val="false"/>
          <w:bCs w:val="false"/>
          <w:i w:val="false"/>
          <w:iCs w:val="false"/>
          <w:sz w:val="22"/>
          <w:szCs w:val="22"/>
        </w:rPr>
        <w:t xml:space="preserve">El proyecto NutriCiclo SCZ se desarrolla bajo un enfoque cualitativo-cuantitativo, ya que combina el análisis de la problemática ambiental asociada a la gestión de residuos orgánicos con datos obtenidos mediante encuestas a productores ganaderos. Este enfoque permite comprender tanto el contexto productivo como las necesidades reales del mercado en zonas rurales de Santa Cruz de la Sierra, evaluando la viabilidad de una solución basada en economía circular.</w:t>
      </w:r>
    </w:p>
    <w:p>
      <w:pPr>
        <w:pStyle w:val="Heading3"/>
        <w:spacing w:after="80" w:before="180"/>
      </w:pPr>
      <w:r>
        <w:rPr>
          <w:rFonts w:ascii="Arial" w:cs="Arial" w:eastAsia="Arial" w:hAnsi="Arial"/>
          <w:b/>
          <w:bCs/>
          <w:color w:val="388E3C"/>
          <w:sz w:val="22"/>
          <w:szCs w:val="22"/>
        </w:rPr>
        <w:t xml:space="preserve">Tipo de investigación</w:t>
      </w:r>
    </w:p>
    <w:p>
      <w:pPr>
        <w:spacing w:after="80" w:before="80"/>
        <w:jc w:val="both"/>
      </w:pPr>
      <w:r>
        <w:rPr>
          <w:rFonts w:ascii="Arial" w:cs="Arial" w:eastAsia="Arial" w:hAnsi="Arial"/>
          <w:b w:val="false"/>
          <w:bCs w:val="false"/>
          <w:i w:val="false"/>
          <w:iCs w:val="false"/>
          <w:sz w:val="22"/>
          <w:szCs w:val="22"/>
        </w:rPr>
        <w:t xml:space="preserve">La investigación es de tipo aplicada y descriptiva. Es aplicada porque propone una solución concreta al problema de acumulación y mal manejo de residuos orgánicos en el contexto productivo local. Es descriptiva porque documenta las características del mercado ganadero, los comportamientos de los productores y las condiciones del entorno agroindustrial.</w:t>
      </w:r>
    </w:p>
    <w:p>
      <w:pPr>
        <w:pStyle w:val="Heading3"/>
        <w:spacing w:after="80" w:before="180"/>
      </w:pPr>
      <w:r>
        <w:rPr>
          <w:rFonts w:ascii="Arial" w:cs="Arial" w:eastAsia="Arial" w:hAnsi="Arial"/>
          <w:b/>
          <w:bCs/>
          <w:color w:val="388E3C"/>
          <w:sz w:val="22"/>
          <w:szCs w:val="22"/>
        </w:rPr>
        <w:t xml:space="preserve">Metodologías activas aplicadas</w:t>
      </w:r>
    </w:p>
    <w:p>
      <w:pPr>
        <w:spacing w:after="80" w:before="80"/>
        <w:jc w:val="both"/>
      </w:pPr>
      <w:r>
        <w:rPr>
          <w:rFonts w:ascii="Arial" w:cs="Arial" w:eastAsia="Arial" w:hAnsi="Arial"/>
          <w:b w:val="false"/>
          <w:bCs w:val="false"/>
          <w:i w:val="false"/>
          <w:iCs w:val="false"/>
          <w:sz w:val="22"/>
          <w:szCs w:val="22"/>
        </w:rPr>
        <w:t xml:space="preserve">Se emplearon las siguientes metodologías activas: Aprendizaje Basado en Proyectos (ABP), Modelo Canvas para el diseño del negocio, y análisis de circularidad para el diagnóstico del modelo productivo.</w:t>
      </w:r>
    </w:p>
    <w:p>
      <w:pPr>
        <w:pStyle w:val="Heading2"/>
        <w:spacing w:after="100" w:before="240"/>
      </w:pPr>
      <w:r>
        <w:rPr>
          <w:rFonts w:ascii="Arial" w:cs="Arial" w:eastAsia="Arial" w:hAnsi="Arial"/>
          <w:b/>
          <w:bCs/>
          <w:color w:val="2E7D32"/>
          <w:sz w:val="24"/>
          <w:szCs w:val="24"/>
        </w:rPr>
        <w:t xml:space="preserve">2.2 Contexto y Participantes</w:t>
      </w:r>
    </w:p>
    <w:p>
      <w:pPr>
        <w:pStyle w:val="Heading3"/>
        <w:spacing w:after="80" w:before="180"/>
      </w:pPr>
      <w:r>
        <w:rPr>
          <w:rFonts w:ascii="Arial" w:cs="Arial" w:eastAsia="Arial" w:hAnsi="Arial"/>
          <w:b/>
          <w:bCs/>
          <w:color w:val="388E3C"/>
          <w:sz w:val="22"/>
          <w:szCs w:val="22"/>
        </w:rPr>
        <w:t xml:space="preserve">Contexto del estudio</w:t>
      </w:r>
    </w:p>
    <w:p>
      <w:pPr>
        <w:spacing w:after="80" w:before="80"/>
        <w:jc w:val="both"/>
      </w:pPr>
      <w:r>
        <w:rPr>
          <w:rFonts w:ascii="Arial" w:cs="Arial" w:eastAsia="Arial" w:hAnsi="Arial"/>
          <w:b w:val="false"/>
          <w:bCs w:val="false"/>
          <w:i w:val="false"/>
          <w:iCs w:val="false"/>
          <w:sz w:val="22"/>
          <w:szCs w:val="22"/>
        </w:rPr>
        <w:t xml:space="preserve">El proyecto se sitúa en Santa Cruz de la Sierra, Bolivia, tomando como contexto el sector ganadero del Norte Integrado y la Chiquitanía, zonas con alta actividad productiva y afectación estacional por sequía.</w:t>
      </w:r>
    </w:p>
    <w:p>
      <w:pPr>
        <w:pStyle w:val="Heading3"/>
        <w:spacing w:after="80" w:before="180"/>
      </w:pPr>
      <w:r>
        <w:rPr>
          <w:rFonts w:ascii="Arial" w:cs="Arial" w:eastAsia="Arial" w:hAnsi="Arial"/>
          <w:b/>
          <w:bCs/>
          <w:color w:val="388E3C"/>
          <w:sz w:val="22"/>
          <w:szCs w:val="22"/>
        </w:rPr>
        <w:t xml:space="preserve">Segmentos analizados</w:t>
      </w:r>
    </w:p>
    <w:p>
      <w:pPr>
        <w:spacing w:after="80" w:before="80"/>
        <w:jc w:val="both"/>
      </w:pPr>
      <w:r>
        <w:rPr>
          <w:rFonts w:ascii="Arial" w:cs="Arial" w:eastAsia="Arial" w:hAnsi="Arial"/>
          <w:b w:val="false"/>
          <w:bCs w:val="false"/>
          <w:i w:val="false"/>
          <w:iCs w:val="false"/>
          <w:sz w:val="22"/>
          <w:szCs w:val="22"/>
        </w:rPr>
        <w:t xml:space="preserve">Se analizaron ganaderos medianos (S2) con hatos de 50 a 200 cabezas de ganado bovino, identificados como el nicho primario con mayor necesidad de suplementación y disposición de pago validada.</w:t>
      </w:r>
    </w:p>
    <w:p>
      <w:pPr>
        <w:pStyle w:val="Heading2"/>
        <w:spacing w:after="100" w:before="240"/>
      </w:pPr>
      <w:r>
        <w:rPr>
          <w:rFonts w:ascii="Arial" w:cs="Arial" w:eastAsia="Arial" w:hAnsi="Arial"/>
          <w:b/>
          <w:bCs/>
          <w:color w:val="2E7D32"/>
          <w:sz w:val="24"/>
          <w:szCs w:val="24"/>
        </w:rPr>
        <w:t xml:space="preserve">2.3 Técnicas e Instrumentos</w:t>
      </w:r>
    </w:p>
    <w:p>
      <w:pPr>
        <w:pStyle w:val="ListParagraph"/>
        <w:numPr>
          <w:ilvl w:val="0"/>
          <w:numId w:val="2"/>
        </w:numPr>
        <w:spacing w:after="60" w:before="60"/>
      </w:pPr>
      <w:r>
        <w:rPr>
          <w:rFonts w:ascii="Arial" w:cs="Arial" w:eastAsia="Arial" w:hAnsi="Arial"/>
          <w:b w:val="false"/>
          <w:bCs w:val="false"/>
          <w:sz w:val="22"/>
          <w:szCs w:val="22"/>
        </w:rPr>
        <w:t xml:space="preserve">Encuestas digitales mediante Google Forms a 42 ganaderos medianos del Norte Integrado</w:t>
      </w:r>
    </w:p>
    <w:p>
      <w:pPr>
        <w:pStyle w:val="ListParagraph"/>
        <w:numPr>
          <w:ilvl w:val="0"/>
          <w:numId w:val="2"/>
        </w:numPr>
        <w:spacing w:after="60" w:before="60"/>
      </w:pPr>
      <w:r>
        <w:rPr>
          <w:rFonts w:ascii="Arial" w:cs="Arial" w:eastAsia="Arial" w:hAnsi="Arial"/>
          <w:b w:val="false"/>
          <w:bCs w:val="false"/>
          <w:sz w:val="22"/>
          <w:szCs w:val="22"/>
        </w:rPr>
        <w:t xml:space="preserve">Entrevistas semiestructuradas con productores y representantes de asociaciones ganaderas</w:t>
      </w:r>
    </w:p>
    <w:p>
      <w:pPr>
        <w:pStyle w:val="ListParagraph"/>
        <w:numPr>
          <w:ilvl w:val="0"/>
          <w:numId w:val="2"/>
        </w:numPr>
        <w:spacing w:after="60" w:before="60"/>
      </w:pPr>
      <w:r>
        <w:rPr>
          <w:rFonts w:ascii="Arial" w:cs="Arial" w:eastAsia="Arial" w:hAnsi="Arial"/>
          <w:b w:val="false"/>
          <w:bCs w:val="false"/>
          <w:sz w:val="22"/>
          <w:szCs w:val="22"/>
        </w:rPr>
        <w:t xml:space="preserve">Observación de procesos productivos en campo durante épocas de sequía</w:t>
      </w:r>
    </w:p>
    <w:p>
      <w:pPr>
        <w:pStyle w:val="ListParagraph"/>
        <w:numPr>
          <w:ilvl w:val="0"/>
          <w:numId w:val="2"/>
        </w:numPr>
        <w:spacing w:after="60" w:before="60"/>
      </w:pPr>
      <w:r>
        <w:rPr>
          <w:rFonts w:ascii="Arial" w:cs="Arial" w:eastAsia="Arial" w:hAnsi="Arial"/>
          <w:b w:val="false"/>
          <w:bCs w:val="false"/>
          <w:sz w:val="22"/>
          <w:szCs w:val="22"/>
        </w:rPr>
        <w:t xml:space="preserve">Análisis documental de fuentes secundarias: FAO, INIAF, Banco Mundial, SENASAG</w:t>
      </w:r>
    </w:p>
    <w:p>
      <w:pPr>
        <w:pStyle w:val="ListParagraph"/>
        <w:numPr>
          <w:ilvl w:val="0"/>
          <w:numId w:val="2"/>
        </w:numPr>
        <w:spacing w:after="60" w:before="60"/>
      </w:pPr>
      <w:r>
        <w:rPr>
          <w:rFonts w:ascii="Arial" w:cs="Arial" w:eastAsia="Arial" w:hAnsi="Arial"/>
          <w:b w:val="false"/>
          <w:bCs w:val="false"/>
          <w:sz w:val="22"/>
          <w:szCs w:val="22"/>
        </w:rPr>
        <w:t xml:space="preserve">Guías de análisis financiero y operativo</w:t>
      </w:r>
    </w:p>
    <w:p>
      <w:pPr>
        <w:pStyle w:val="Heading2"/>
        <w:spacing w:after="100" w:before="240"/>
      </w:pPr>
      <w:r>
        <w:rPr>
          <w:rFonts w:ascii="Arial" w:cs="Arial" w:eastAsia="Arial" w:hAnsi="Arial"/>
          <w:b/>
          <w:bCs/>
          <w:color w:val="2E7D32"/>
          <w:sz w:val="24"/>
          <w:szCs w:val="24"/>
        </w:rPr>
        <w:t xml:space="preserve">2.4 Procedimiento</w:t>
      </w:r>
    </w:p>
    <w:p>
      <w:pPr>
        <w:pStyle w:val="ListParagraph"/>
        <w:numPr>
          <w:ilvl w:val="0"/>
          <w:numId w:val="3"/>
        </w:numPr>
        <w:spacing w:after="60" w:before="60"/>
      </w:pPr>
      <w:r>
        <w:rPr>
          <w:rFonts w:ascii="Arial" w:cs="Arial" w:eastAsia="Arial" w:hAnsi="Arial"/>
          <w:b w:val="false"/>
          <w:bCs w:val="false"/>
          <w:sz w:val="22"/>
          <w:szCs w:val="22"/>
        </w:rPr>
        <w:t xml:space="preserve">Selección del proyecto NutriCiclo SCZ como emprendimiento de economía circular</w:t>
      </w:r>
    </w:p>
    <w:p>
      <w:pPr>
        <w:pStyle w:val="ListParagraph"/>
        <w:numPr>
          <w:ilvl w:val="0"/>
          <w:numId w:val="3"/>
        </w:numPr>
        <w:spacing w:after="60" w:before="60"/>
      </w:pPr>
      <w:r>
        <w:rPr>
          <w:rFonts w:ascii="Arial" w:cs="Arial" w:eastAsia="Arial" w:hAnsi="Arial"/>
          <w:b w:val="false"/>
          <w:bCs w:val="false"/>
          <w:sz w:val="22"/>
          <w:szCs w:val="22"/>
        </w:rPr>
        <w:t xml:space="preserve">Diagnóstico de la situación: mapeo de residuos orgánicos disponibles y necesidades del sector ganadero</w:t>
      </w:r>
    </w:p>
    <w:p>
      <w:pPr>
        <w:pStyle w:val="ListParagraph"/>
        <w:numPr>
          <w:ilvl w:val="0"/>
          <w:numId w:val="3"/>
        </w:numPr>
        <w:spacing w:after="60" w:before="60"/>
      </w:pPr>
      <w:r>
        <w:rPr>
          <w:rFonts w:ascii="Arial" w:cs="Arial" w:eastAsia="Arial" w:hAnsi="Arial"/>
          <w:b w:val="false"/>
          <w:bCs w:val="false"/>
          <w:sz w:val="22"/>
          <w:szCs w:val="22"/>
        </w:rPr>
        <w:t xml:space="preserve">Identificación de problemas y áreas de mejora mediante encuesta y análisis de competencia</w:t>
      </w:r>
    </w:p>
    <w:p>
      <w:pPr>
        <w:pStyle w:val="ListParagraph"/>
        <w:numPr>
          <w:ilvl w:val="0"/>
          <w:numId w:val="3"/>
        </w:numPr>
        <w:spacing w:after="60" w:before="60"/>
      </w:pPr>
      <w:r>
        <w:rPr>
          <w:rFonts w:ascii="Arial" w:cs="Arial" w:eastAsia="Arial" w:hAnsi="Arial"/>
          <w:b w:val="false"/>
          <w:bCs w:val="false"/>
          <w:sz w:val="22"/>
          <w:szCs w:val="22"/>
        </w:rPr>
        <w:t xml:space="preserve">Diseño del plan de negocio completo: operativo, marketing, organización y financiero</w:t>
      </w:r>
    </w:p>
    <w:p>
      <w:pPr>
        <w:pStyle w:val="ListParagraph"/>
        <w:numPr>
          <w:ilvl w:val="0"/>
          <w:numId w:val="3"/>
        </w:numPr>
        <w:spacing w:after="60" w:before="60"/>
      </w:pPr>
      <w:r>
        <w:rPr>
          <w:rFonts w:ascii="Arial" w:cs="Arial" w:eastAsia="Arial" w:hAnsi="Arial"/>
          <w:b w:val="false"/>
          <w:bCs w:val="false"/>
          <w:sz w:val="22"/>
          <w:szCs w:val="22"/>
        </w:rPr>
        <w:t xml:space="preserve">Presentación y socialización de resultados con validación de viabilidad</w:t>
      </w:r>
    </w:p>
    <w:p>
      <w:pPr>
        <w:pStyle w:val="Heading2"/>
        <w:spacing w:after="100" w:before="240"/>
      </w:pPr>
      <w:r>
        <w:rPr>
          <w:rFonts w:ascii="Arial" w:cs="Arial" w:eastAsia="Arial" w:hAnsi="Arial"/>
          <w:b/>
          <w:bCs/>
          <w:color w:val="2E7D32"/>
          <w:sz w:val="24"/>
          <w:szCs w:val="24"/>
        </w:rPr>
        <w:t xml:space="preserve">2.5 Uso de Inteligencia Artificial</w:t>
      </w:r>
    </w:p>
    <w:p>
      <w:pPr>
        <w:spacing w:after="80" w:before="80"/>
        <w:jc w:val="both"/>
      </w:pPr>
      <w:r>
        <w:rPr>
          <w:rFonts w:ascii="Arial" w:cs="Arial" w:eastAsia="Arial" w:hAnsi="Arial"/>
          <w:b w:val="false"/>
          <w:bCs w:val="false"/>
          <w:i w:val="false"/>
          <w:iCs w:val="false"/>
          <w:sz w:val="22"/>
          <w:szCs w:val="22"/>
        </w:rPr>
        <w:t xml:space="preserve">Durante el desarrollo del proyecto se emplearon herramientas de Inteligencia Artificial como Claude (Anthropic) y ChatGPT como asistentes pedagógicos para la estructuración del plan de negocio, el análisis de datos cualitativos de las encuestas, la organización de información técnica y la toma de decisiones sobre la formulación del producto. La IA se utilizó como complemento del juicio crítico del equipo, manteniendo en todo momento el rol central de la investigación de campo y el docente.</w:t>
      </w:r>
    </w:p>
    <w:p>
      <w:pPr>
        <w:pStyle w:val="Heading2"/>
        <w:spacing w:after="100" w:before="240"/>
      </w:pPr>
      <w:r>
        <w:rPr>
          <w:rFonts w:ascii="Arial" w:cs="Arial" w:eastAsia="Arial" w:hAnsi="Arial"/>
          <w:b/>
          <w:bCs/>
          <w:color w:val="2E7D32"/>
          <w:sz w:val="24"/>
          <w:szCs w:val="24"/>
        </w:rPr>
        <w:t xml:space="preserve">2.6 Sostenibilidad y Responsabilidad Social</w:t>
      </w:r>
    </w:p>
    <w:p>
      <w:pPr>
        <w:spacing w:after="80" w:before="80"/>
        <w:jc w:val="both"/>
      </w:pPr>
      <w:r>
        <w:rPr>
          <w:rFonts w:ascii="Arial" w:cs="Arial" w:eastAsia="Arial" w:hAnsi="Arial"/>
          <w:b w:val="false"/>
          <w:bCs w:val="false"/>
          <w:i w:val="false"/>
          <w:iCs w:val="false"/>
          <w:sz w:val="22"/>
          <w:szCs w:val="22"/>
        </w:rPr>
        <w:t xml:space="preserve">El proyecto integra criterios de sostenibilidad mediante la valorización de residuos orgánicos de mataderos y la cría de larvas BSF como fuente proteica alternativa. Se aplican principios de responsabilidad social mediante la inclusión de ganaderos pequeños en el mercado de suplementación, la reducción de la contaminación de los ríos Piraí y Grande, y el desarrollo de capacidades técnicas en el sector rural.</w:t>
      </w:r>
    </w:p>
    <w:p>
      <w:pPr>
        <w:pBdr>
          <w:bottom w:val="single" w:color="4CAF50" w:sz="4" w:space="1"/>
        </w:pBdr>
        <w:spacing w:after="120" w:before="120"/>
      </w:pPr>
    </w:p>
    <w:p>
      <w:pPr>
        <w:pStyle w:val="Heading1"/>
        <w:spacing w:after="120" w:before="300"/>
      </w:pPr>
      <w:r>
        <w:rPr>
          <w:rFonts w:ascii="Arial" w:cs="Arial" w:eastAsia="Arial" w:hAnsi="Arial"/>
          <w:b/>
          <w:bCs/>
          <w:color w:val="1B5E20"/>
          <w:sz w:val="28"/>
          <w:szCs w:val="28"/>
        </w:rPr>
        <w:t xml:space="preserve">3. RESULTADOS</w:t>
      </w:r>
    </w:p>
    <w:p>
      <w:pPr>
        <w:pStyle w:val="Heading2"/>
        <w:spacing w:after="100" w:before="240"/>
      </w:pPr>
      <w:r>
        <w:rPr>
          <w:rFonts w:ascii="Arial" w:cs="Arial" w:eastAsia="Arial" w:hAnsi="Arial"/>
          <w:b/>
          <w:bCs/>
          <w:color w:val="2E7D32"/>
          <w:sz w:val="24"/>
          <w:szCs w:val="24"/>
        </w:rPr>
        <w:t xml:space="preserve">3.1 Resultados de la Segmentación de Mercado</w:t>
      </w:r>
    </w:p>
    <w:p>
      <w:pPr>
        <w:spacing w:after="80" w:before="80"/>
        <w:jc w:val="both"/>
      </w:pPr>
      <w:r>
        <w:rPr>
          <w:rFonts w:ascii="Arial" w:cs="Arial" w:eastAsia="Arial" w:hAnsi="Arial"/>
          <w:b w:val="false"/>
          <w:bCs w:val="false"/>
          <w:i w:val="false"/>
          <w:iCs w:val="false"/>
          <w:sz w:val="22"/>
          <w:szCs w:val="22"/>
        </w:rPr>
        <w:t xml:space="preserve">La investigación identificó cuatro segmentos en el mercado ganadero de Santa Cruz: pequeños ganaderos (S1, menos de 50 cabezas), ganaderos medianos (S2, 50–200 cabezas), ganaderos grandes (S3, más de 200 cabezas) y asociaciones ganaderas (S4). Se seleccionó S2 como nicho primario por presentar la combinación óptima de necesidad real, disposición de pago y accesibilidad comercial.</w:t>
      </w:r>
    </w:p>
    <w:p>
      <w:pPr>
        <w:pStyle w:val="Heading2"/>
        <w:spacing w:after="100" w:before="240"/>
      </w:pPr>
      <w:r>
        <w:rPr>
          <w:rFonts w:ascii="Arial" w:cs="Arial" w:eastAsia="Arial" w:hAnsi="Arial"/>
          <w:b/>
          <w:bCs/>
          <w:color w:val="2E7D32"/>
          <w:sz w:val="24"/>
          <w:szCs w:val="24"/>
        </w:rPr>
        <w:t xml:space="preserve">3.2 Resultados sobre Comportamiento y Necesidades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Indicador</w:t>
            </w:r>
          </w:p>
        </w:tc>
        <w:tc>
          <w:tcPr>
            <w:tcW w:type="dxa" w:w="220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Resultado</w:t>
            </w:r>
          </w:p>
        </w:tc>
        <w:tc>
          <w:tcPr>
            <w:tcW w:type="dxa" w:w="396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Criterio de validación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Interés en el producto</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78,6%</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Umbral: ≥ 60% ✓</w:t>
            </w:r>
          </w:p>
        </w:tc>
      </w:tr>
      <w:tr>
        <w:tc>
          <w:tcPr>
            <w:tcW w:type="dxa" w:w="32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Disposición a pagar Bs 100+</w:t>
            </w:r>
          </w:p>
        </w:tc>
        <w:tc>
          <w:tcPr>
            <w:tcW w:type="dxa" w:w="22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64,3%</w:t>
            </w:r>
          </w:p>
        </w:tc>
        <w:tc>
          <w:tcPr>
            <w:tcW w:type="dxa" w:w="396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Umbral: ≥ 50% ✓</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Pérdidas reportadas en época de sequía</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86%</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Confirma necesidad urgente ✓</w:t>
            </w:r>
          </w:p>
        </w:tc>
      </w:tr>
      <w:tr>
        <w:tc>
          <w:tcPr>
            <w:tcW w:type="dxa" w:w="32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Sin ningún tipo de suplementación</w:t>
            </w:r>
          </w:p>
        </w:tc>
        <w:tc>
          <w:tcPr>
            <w:tcW w:type="dxa" w:w="22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38%</w:t>
            </w:r>
          </w:p>
        </w:tc>
        <w:tc>
          <w:tcPr>
            <w:tcW w:type="dxa" w:w="396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Mercado desatendido ✓</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Interés en capacitación gratuita</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74%</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Herramienta de fidelización ✓</w:t>
            </w:r>
          </w:p>
        </w:tc>
      </w:tr>
      <w:tr>
        <w:tc>
          <w:tcPr>
            <w:tcW w:type="dxa" w:w="32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Barrera por desconfianza hacia nuevos productos</w:t>
            </w:r>
          </w:p>
        </w:tc>
        <w:tc>
          <w:tcPr>
            <w:tcW w:type="dxa" w:w="22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26%</w:t>
            </w:r>
          </w:p>
        </w:tc>
        <w:tc>
          <w:tcPr>
            <w:tcW w:type="dxa" w:w="396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Requiere estrategia de lanzamiento ⚠</w:t>
            </w:r>
          </w:p>
        </w:tc>
      </w:tr>
    </w:tbl>
    <w:p>
      <w:r>
        <w:t xml:space="preserve"/>
      </w:r>
    </w:p>
    <w:p>
      <w:pPr>
        <w:pStyle w:val="Heading2"/>
        <w:spacing w:after="100" w:before="240"/>
      </w:pPr>
      <w:r>
        <w:rPr>
          <w:rFonts w:ascii="Arial" w:cs="Arial" w:eastAsia="Arial" w:hAnsi="Arial"/>
          <w:b/>
          <w:bCs/>
          <w:color w:val="2E7D32"/>
          <w:sz w:val="24"/>
          <w:szCs w:val="24"/>
        </w:rPr>
        <w:t xml:space="preserve">3.3 Resultados sobre Viabilidad del Enfoque Sostenible</w:t>
      </w:r>
    </w:p>
    <w:p>
      <w:pPr>
        <w:spacing w:after="80" w:before="80"/>
        <w:jc w:val="both"/>
      </w:pPr>
      <w:r>
        <w:rPr>
          <w:rFonts w:ascii="Arial" w:cs="Arial" w:eastAsia="Arial" w:hAnsi="Arial"/>
          <w:b w:val="false"/>
          <w:bCs w:val="false"/>
          <w:i w:val="false"/>
          <w:iCs w:val="false"/>
          <w:sz w:val="22"/>
          <w:szCs w:val="22"/>
        </w:rPr>
        <w:t xml:space="preserve">La integración de la biofábrica BSF como fuente de proteína alternativa demostró ser técnicamente factible. Un bloque de 25 kg puede alimentar a 31,25 cabezas de ganado al día, calculado con base en un consumo promedio de 0,8 kg/animal/día. La producción diaria proyectada de 360 bloques permitiría abastecer a 11.250 cabezas, representando el 3,2% del total del hato ganadero del área de influencia.</w:t>
      </w:r>
    </w:p>
    <w:p>
      <w:pPr>
        <w:pStyle w:val="Heading2"/>
        <w:spacing w:after="100" w:before="240"/>
      </w:pPr>
      <w:r>
        <w:rPr>
          <w:rFonts w:ascii="Arial" w:cs="Arial" w:eastAsia="Arial" w:hAnsi="Arial"/>
          <w:b/>
          <w:bCs/>
          <w:color w:val="2E7D32"/>
          <w:sz w:val="24"/>
          <w:szCs w:val="24"/>
        </w:rPr>
        <w:t xml:space="preserve">3.4 Resultados Financieros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Indicador Financiero</w:t>
            </w:r>
          </w:p>
        </w:tc>
        <w:tc>
          <w:tcPr>
            <w:tcW w:type="dxa" w:w="48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VAN (Valor Actual Neto)</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Bs 1.852.340</w:t>
            </w:r>
          </w:p>
        </w:tc>
      </w:tr>
      <w:tr>
        <w:tc>
          <w:tcPr>
            <w:tcW w:type="dxa" w:w="4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TIR (Tasa Interna de Retorno)</w:t>
            </w:r>
          </w:p>
        </w:tc>
        <w:tc>
          <w:tcPr>
            <w:tcW w:type="dxa" w:w="4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78,4%</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Período de recuperación</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año 10 meses</w:t>
            </w:r>
          </w:p>
        </w:tc>
      </w:tr>
      <w:tr>
        <w:tc>
          <w:tcPr>
            <w:tcW w:type="dxa" w:w="4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Relación Beneficio/Costo (B/C)</w:t>
            </w:r>
          </w:p>
        </w:tc>
        <w:tc>
          <w:tcPr>
            <w:tcW w:type="dxa" w:w="4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1,92</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Punto de equilibrio mensual</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2.583 bloques</w:t>
            </w:r>
          </w:p>
        </w:tc>
      </w:tr>
      <w:tr>
        <w:tc>
          <w:tcPr>
            <w:tcW w:type="dxa" w:w="4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Punto de equilibrio (% capacidad)</w:t>
            </w:r>
          </w:p>
        </w:tc>
        <w:tc>
          <w:tcPr>
            <w:tcW w:type="dxa" w:w="4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27,5% de la capacidad</w:t>
            </w:r>
          </w:p>
        </w:tc>
      </w:tr>
    </w:tbl>
    <w:p>
      <w:r>
        <w:t xml:space="preserve"/>
      </w:r>
    </w:p>
    <w:p>
      <w:pPr>
        <w:pStyle w:val="Heading2"/>
        <w:spacing w:after="100" w:before="240"/>
      </w:pPr>
      <w:r>
        <w:rPr>
          <w:rFonts w:ascii="Arial" w:cs="Arial" w:eastAsia="Arial" w:hAnsi="Arial"/>
          <w:b/>
          <w:bCs/>
          <w:color w:val="2E7D32"/>
          <w:sz w:val="24"/>
          <w:szCs w:val="24"/>
        </w:rPr>
        <w:t xml:space="preserve">3.5 Hallazgos Relevantes</w:t>
      </w:r>
    </w:p>
    <w:p>
      <w:pPr>
        <w:pStyle w:val="ListParagraph"/>
        <w:numPr>
          <w:ilvl w:val="0"/>
          <w:numId w:val="2"/>
        </w:numPr>
        <w:spacing w:after="60" w:before="60"/>
      </w:pPr>
      <w:r>
        <w:rPr>
          <w:rFonts w:ascii="Arial" w:cs="Arial" w:eastAsia="Arial" w:hAnsi="Arial"/>
          <w:b w:val="false"/>
          <w:bCs w:val="false"/>
          <w:sz w:val="22"/>
          <w:szCs w:val="22"/>
        </w:rPr>
        <w:t xml:space="preserve">El 86% de los ganaderos medianos encuestados reporta pérdidas significativas durante la sequía, confirmando la magnitud del problema.</w:t>
      </w:r>
    </w:p>
    <w:p>
      <w:pPr>
        <w:pStyle w:val="ListParagraph"/>
        <w:numPr>
          <w:ilvl w:val="0"/>
          <w:numId w:val="2"/>
        </w:numPr>
        <w:spacing w:after="60" w:before="60"/>
      </w:pPr>
      <w:r>
        <w:rPr>
          <w:rFonts w:ascii="Arial" w:cs="Arial" w:eastAsia="Arial" w:hAnsi="Arial"/>
          <w:b w:val="false"/>
          <w:bCs w:val="false"/>
          <w:sz w:val="22"/>
          <w:szCs w:val="22"/>
        </w:rPr>
        <w:t xml:space="preserve">El 38% no utiliza ningún tipo de suplemento, representando una oportunidad directa de mercado.</w:t>
      </w:r>
    </w:p>
    <w:p>
      <w:pPr>
        <w:pStyle w:val="ListParagraph"/>
        <w:numPr>
          <w:ilvl w:val="0"/>
          <w:numId w:val="2"/>
        </w:numPr>
        <w:spacing w:after="60" w:before="60"/>
      </w:pPr>
      <w:r>
        <w:rPr>
          <w:rFonts w:ascii="Arial" w:cs="Arial" w:eastAsia="Arial" w:hAnsi="Arial"/>
          <w:b w:val="false"/>
          <w:bCs w:val="false"/>
          <w:sz w:val="22"/>
          <w:szCs w:val="22"/>
        </w:rPr>
        <w:t xml:space="preserve">La barrera de desconfianza (26%) señala la necesidad de una estrategia de lanzamiento basada en demostración en campo con resultados medibles en 30 días.</w:t>
      </w:r>
    </w:p>
    <w:p>
      <w:pPr>
        <w:pStyle w:val="ListParagraph"/>
        <w:numPr>
          <w:ilvl w:val="0"/>
          <w:numId w:val="2"/>
        </w:numPr>
        <w:spacing w:after="60" w:before="60"/>
      </w:pPr>
      <w:r>
        <w:rPr>
          <w:rFonts w:ascii="Arial" w:cs="Arial" w:eastAsia="Arial" w:hAnsi="Arial"/>
          <w:b w:val="false"/>
          <w:bCs w:val="false"/>
          <w:sz w:val="22"/>
          <w:szCs w:val="22"/>
        </w:rPr>
        <w:t xml:space="preserve">El interés del 74% en capacitación gratuita confirma que la socioformación es una herramienta estratégica de fidelización comercial.</w:t>
      </w:r>
    </w:p>
    <w:p>
      <w:pPr>
        <w:pBdr>
          <w:bottom w:val="single" w:color="4CAF50" w:sz="4" w:space="1"/>
        </w:pBdr>
        <w:spacing w:after="120" w:before="120"/>
      </w:pPr>
    </w:p>
    <w:p>
      <w:pPr>
        <w:pStyle w:val="Heading1"/>
        <w:spacing w:after="120" w:before="300"/>
      </w:pPr>
      <w:r>
        <w:rPr>
          <w:rFonts w:ascii="Arial" w:cs="Arial" w:eastAsia="Arial" w:hAnsi="Arial"/>
          <w:b/>
          <w:bCs/>
          <w:color w:val="1B5E20"/>
          <w:sz w:val="28"/>
          <w:szCs w:val="28"/>
        </w:rPr>
        <w:t xml:space="preserve">CAPÍTULO 1: DIAGNÓSTICO</w:t>
      </w:r>
    </w:p>
    <w:p>
      <w:pPr>
        <w:pStyle w:val="Heading2"/>
        <w:spacing w:after="100" w:before="240"/>
      </w:pPr>
      <w:r>
        <w:rPr>
          <w:rFonts w:ascii="Arial" w:cs="Arial" w:eastAsia="Arial" w:hAnsi="Arial"/>
          <w:b/>
          <w:bCs/>
          <w:color w:val="2E7D32"/>
          <w:sz w:val="24"/>
          <w:szCs w:val="24"/>
        </w:rPr>
        <w:t xml:space="preserve">1.1 Idea de Negocio</w:t>
      </w:r>
    </w:p>
    <w:p>
      <w:pPr>
        <w:spacing w:after="80" w:before="80"/>
        <w:jc w:val="both"/>
      </w:pPr>
      <w:r>
        <w:rPr>
          <w:rFonts w:ascii="Arial" w:cs="Arial" w:eastAsia="Arial" w:hAnsi="Arial"/>
          <w:b w:val="false"/>
          <w:bCs w:val="false"/>
          <w:i w:val="false"/>
          <w:iCs w:val="false"/>
          <w:sz w:val="22"/>
          <w:szCs w:val="22"/>
        </w:rPr>
        <w:t xml:space="preserve">NutriCiclo SCZ es una biofábrica circular que produce bloques multinutricionales (BMN) sólidos de 25 kg para ganado bovino, formulados a partir de residuos orgánicos de mataderos, subproductos de la agroindustria azucarera y proteína de larva de mosca soldado negra (Hermetia illucens / BSF). La propuesta transforma un doble problema ambiental —residuos sin gestión— en una solución productiva de alto valor nutricional.</w:t>
      </w:r>
    </w:p>
    <w:p>
      <w:pPr>
        <w:pStyle w:val="Heading2"/>
        <w:spacing w:after="100" w:before="240"/>
      </w:pPr>
      <w:r>
        <w:rPr>
          <w:rFonts w:ascii="Arial" w:cs="Arial" w:eastAsia="Arial" w:hAnsi="Arial"/>
          <w:b/>
          <w:bCs/>
          <w:color w:val="2E7D32"/>
          <w:sz w:val="24"/>
          <w:szCs w:val="24"/>
        </w:rPr>
        <w:t xml:space="preserve">1.2 Propuesta de Valor</w:t>
      </w:r>
    </w:p>
    <w:p>
      <w:pPr>
        <w:pStyle w:val="ListParagraph"/>
        <w:numPr>
          <w:ilvl w:val="0"/>
          <w:numId w:val="2"/>
        </w:numPr>
        <w:spacing w:after="60" w:before="60"/>
      </w:pPr>
      <w:r>
        <w:rPr>
          <w:rFonts w:ascii="Arial" w:cs="Arial" w:eastAsia="Arial" w:hAnsi="Arial"/>
          <w:b w:val="false"/>
          <w:bCs w:val="false"/>
          <w:sz w:val="22"/>
          <w:szCs w:val="22"/>
        </w:rPr>
        <w:t xml:space="preserve">Solución a problemas estructurales del entorno local: aprovecha residuos orgánicos que generan contaminación en los ríos Piraí y Grande.</w:t>
      </w:r>
    </w:p>
    <w:p>
      <w:pPr>
        <w:pStyle w:val="ListParagraph"/>
        <w:numPr>
          <w:ilvl w:val="0"/>
          <w:numId w:val="2"/>
        </w:numPr>
        <w:spacing w:after="60" w:before="60"/>
      </w:pPr>
      <w:r>
        <w:rPr>
          <w:rFonts w:ascii="Arial" w:cs="Arial" w:eastAsia="Arial" w:hAnsi="Arial"/>
          <w:b w:val="false"/>
          <w:bCs w:val="false"/>
          <w:sz w:val="22"/>
          <w:szCs w:val="22"/>
        </w:rPr>
        <w:t xml:space="preserve">Innovación en el uso de residuos como materia prima: la harina BSF provee entre 42% y 50% de contenido proteico, comparable a la harina de pescado.</w:t>
      </w:r>
    </w:p>
    <w:p>
      <w:pPr>
        <w:pStyle w:val="ListParagraph"/>
        <w:numPr>
          <w:ilvl w:val="0"/>
          <w:numId w:val="2"/>
        </w:numPr>
        <w:spacing w:after="60" w:before="60"/>
      </w:pPr>
      <w:r>
        <w:rPr>
          <w:rFonts w:ascii="Arial" w:cs="Arial" w:eastAsia="Arial" w:hAnsi="Arial"/>
          <w:b w:val="false"/>
          <w:bCs w:val="false"/>
          <w:sz w:val="22"/>
          <w:szCs w:val="22"/>
        </w:rPr>
        <w:t xml:space="preserve">Aporte a la economía circular en Santa Cruz: cierra ciclos productivos entre mataderos, biofábrica y ganaderos.</w:t>
      </w:r>
    </w:p>
    <w:p>
      <w:pPr>
        <w:pStyle w:val="ListParagraph"/>
        <w:numPr>
          <w:ilvl w:val="0"/>
          <w:numId w:val="2"/>
        </w:numPr>
        <w:spacing w:after="60" w:before="60"/>
      </w:pPr>
      <w:r>
        <w:rPr>
          <w:rFonts w:ascii="Arial" w:cs="Arial" w:eastAsia="Arial" w:hAnsi="Arial"/>
          <w:b w:val="false"/>
          <w:bCs w:val="false"/>
          <w:sz w:val="22"/>
          <w:szCs w:val="22"/>
        </w:rPr>
        <w:t xml:space="preserve">Diferenciación frente a alternativas tradicionales: sin preparación diaria, uso directo en potrero, consumo autorregulado.</w:t>
      </w:r>
    </w:p>
    <w:p>
      <w:pPr>
        <w:pStyle w:val="Heading2"/>
        <w:spacing w:after="100" w:before="240"/>
      </w:pPr>
      <w:r>
        <w:rPr>
          <w:rFonts w:ascii="Arial" w:cs="Arial" w:eastAsia="Arial" w:hAnsi="Arial"/>
          <w:b/>
          <w:bCs/>
          <w:color w:val="2E7D32"/>
          <w:sz w:val="24"/>
          <w:szCs w:val="24"/>
        </w:rPr>
        <w:t xml:space="preserve">1.3 Investigación del Modelo Circular</w:t>
      </w:r>
    </w:p>
    <w:p>
      <w:pPr>
        <w:spacing w:after="80" w:before="80"/>
        <w:jc w:val="left"/>
      </w:pPr>
      <w:r>
        <w:rPr>
          <w:rFonts w:ascii="Arial" w:cs="Arial" w:eastAsia="Arial" w:hAnsi="Arial"/>
          <w:b/>
          <w:bCs/>
          <w:i w:val="false"/>
          <w:iCs w:val="false"/>
          <w:sz w:val="22"/>
          <w:szCs w:val="22"/>
        </w:rPr>
        <w:t xml:space="preserve">El modelo circular de NutriCiclo opera en cuatro etapas:</w:t>
      </w:r>
    </w:p>
    <w:p>
      <w:pPr>
        <w:pStyle w:val="ListParagraph"/>
        <w:numPr>
          <w:ilvl w:val="0"/>
          <w:numId w:val="3"/>
        </w:numPr>
        <w:spacing w:after="60" w:before="60"/>
      </w:pPr>
      <w:r>
        <w:rPr>
          <w:rFonts w:ascii="Arial" w:cs="Arial" w:eastAsia="Arial" w:hAnsi="Arial"/>
          <w:b w:val="false"/>
          <w:bCs w:val="false"/>
          <w:sz w:val="22"/>
          <w:szCs w:val="22"/>
        </w:rPr>
        <w:t xml:space="preserve">Aprovechamiento de residuos: recolección de sangre, huesos y vísceras de mataderos y melaza de ingenios azucareros.</w:t>
      </w:r>
    </w:p>
    <w:p>
      <w:pPr>
        <w:pStyle w:val="ListParagraph"/>
        <w:numPr>
          <w:ilvl w:val="0"/>
          <w:numId w:val="3"/>
        </w:numPr>
        <w:spacing w:after="60" w:before="60"/>
      </w:pPr>
      <w:r>
        <w:rPr>
          <w:rFonts w:ascii="Arial" w:cs="Arial" w:eastAsia="Arial" w:hAnsi="Arial"/>
          <w:b w:val="false"/>
          <w:bCs w:val="false"/>
          <w:sz w:val="22"/>
          <w:szCs w:val="22"/>
        </w:rPr>
        <w:t xml:space="preserve">Transformación productiva: procesamiento en la biofábrica mediante cría de larvas BSF, triturado, mezclado y prensado.</w:t>
      </w:r>
    </w:p>
    <w:p>
      <w:pPr>
        <w:pStyle w:val="ListParagraph"/>
        <w:numPr>
          <w:ilvl w:val="0"/>
          <w:numId w:val="3"/>
        </w:numPr>
        <w:spacing w:after="60" w:before="60"/>
      </w:pPr>
      <w:r>
        <w:rPr>
          <w:rFonts w:ascii="Arial" w:cs="Arial" w:eastAsia="Arial" w:hAnsi="Arial"/>
          <w:b w:val="false"/>
          <w:bCs w:val="false"/>
          <w:sz w:val="22"/>
          <w:szCs w:val="22"/>
        </w:rPr>
        <w:t xml:space="preserve">Uso productivo: distribución y consumo del BMN por parte de ganaderos medianos durante el estiaje.</w:t>
      </w:r>
    </w:p>
    <w:p>
      <w:pPr>
        <w:pStyle w:val="ListParagraph"/>
        <w:numPr>
          <w:ilvl w:val="0"/>
          <w:numId w:val="3"/>
        </w:numPr>
        <w:spacing w:after="60" w:before="60"/>
      </w:pPr>
      <w:r>
        <w:rPr>
          <w:rFonts w:ascii="Arial" w:cs="Arial" w:eastAsia="Arial" w:hAnsi="Arial"/>
          <w:b w:val="false"/>
          <w:bCs w:val="false"/>
          <w:sz w:val="22"/>
          <w:szCs w:val="22"/>
        </w:rPr>
        <w:t xml:space="preserve">Retorno al sistema natural: el frass (residuo de la cría BSF) se utiliza como fertilizante orgánico, cerrando el ciclo.</w:t>
      </w:r>
    </w:p>
    <w:p>
      <w:pPr>
        <w:pStyle w:val="Heading2"/>
        <w:spacing w:after="100" w:before="240"/>
      </w:pPr>
      <w:r>
        <w:rPr>
          <w:rFonts w:ascii="Arial" w:cs="Arial" w:eastAsia="Arial" w:hAnsi="Arial"/>
          <w:b/>
          <w:bCs/>
          <w:color w:val="2E7D32"/>
          <w:sz w:val="24"/>
          <w:szCs w:val="24"/>
        </w:rPr>
        <w:t xml:space="preserve">1.4 Investigación de Mercado</w:t>
      </w:r>
    </w:p>
    <w:p>
      <w:pPr>
        <w:pStyle w:val="Heading3"/>
        <w:spacing w:after="80" w:before="180"/>
      </w:pPr>
      <w:r>
        <w:rPr>
          <w:rFonts w:ascii="Arial" w:cs="Arial" w:eastAsia="Arial" w:hAnsi="Arial"/>
          <w:b/>
          <w:bCs/>
          <w:color w:val="388E3C"/>
          <w:sz w:val="22"/>
          <w:szCs w:val="22"/>
        </w:rPr>
        <w:t xml:space="preserve">Segmentación y selección del nicho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Segmento</w:t>
            </w:r>
          </w:p>
        </w:tc>
        <w:tc>
          <w:tcPr>
            <w:tcW w:type="dxa" w:w="3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tcW w:type="dxa" w:w="28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Potencial</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S1 – Pequeños ganaderos</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Menos de 50 cabezas</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Medio – precio sensible</w:t>
            </w:r>
          </w:p>
        </w:tc>
      </w:tr>
      <w:tr>
        <w:tc>
          <w:tcPr>
            <w:tcW w:type="dxa" w:w="30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S2 – Ganaderos medianos</w:t>
            </w:r>
          </w:p>
        </w:tc>
        <w:tc>
          <w:tcPr>
            <w:tcW w:type="dxa" w:w="3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50–200 cabezas, Norte Integrado</w:t>
            </w:r>
          </w:p>
        </w:tc>
        <w:tc>
          <w:tcPr>
            <w:tcW w:type="dxa" w:w="2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ALTO – nicho seleccionado</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S3 – Grandes propietarios</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Más de 200 cabezas</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Bajo – autoabastecimiento</w:t>
            </w:r>
          </w:p>
        </w:tc>
      </w:tr>
      <w:tr>
        <w:tc>
          <w:tcPr>
            <w:tcW w:type="dxa" w:w="30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S4 – Asociaciones ganaderas</w:t>
            </w:r>
          </w:p>
        </w:tc>
        <w:tc>
          <w:tcPr>
            <w:tcW w:type="dxa" w:w="3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Compras colectivas</w:t>
            </w:r>
          </w:p>
        </w:tc>
        <w:tc>
          <w:tcPr>
            <w:tcW w:type="dxa" w:w="2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Alto – canal secundario</w:t>
            </w:r>
          </w:p>
        </w:tc>
      </w:tr>
    </w:tbl>
    <w:p>
      <w:r>
        <w:t xml:space="preserve"/>
      </w:r>
    </w:p>
    <w:p>
      <w:pPr>
        <w:pStyle w:val="Heading3"/>
        <w:spacing w:after="80" w:before="180"/>
      </w:pPr>
      <w:r>
        <w:rPr>
          <w:rFonts w:ascii="Arial" w:cs="Arial" w:eastAsia="Arial" w:hAnsi="Arial"/>
          <w:b/>
          <w:bCs/>
          <w:color w:val="388E3C"/>
          <w:sz w:val="22"/>
          <w:szCs w:val="22"/>
        </w:rPr>
        <w:t xml:space="preserve">Ficha técnica de la encuesta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Parámetro</w:t>
            </w:r>
          </w:p>
        </w:tc>
        <w:tc>
          <w:tcPr>
            <w:tcW w:type="dxa" w:w="55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Detalle</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Tamaño de muestra</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42 ganaderos medianos</w:t>
            </w:r>
          </w:p>
        </w:tc>
      </w:tr>
      <w:tr>
        <w:tc>
          <w:tcPr>
            <w:tcW w:type="dxa" w:w="3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Zona de aplicación</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Norte Integrado, Santa Cruz</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Instrumento</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Google Forms (digital)</w:t>
            </w:r>
          </w:p>
        </w:tc>
      </w:tr>
      <w:tr>
        <w:tc>
          <w:tcPr>
            <w:tcW w:type="dxa" w:w="3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Período de recolección</w:t>
            </w:r>
          </w:p>
        </w:tc>
        <w:tc>
          <w:tcPr>
            <w:tcW w:type="dxa" w:w="55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Febrero–Marzo 2026</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Método de muestreo</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probabilístico por conveniencia</w:t>
            </w:r>
          </w:p>
        </w:tc>
      </w:tr>
    </w:tbl>
    <w:p>
      <w:r>
        <w:t xml:space="preserve"/>
      </w:r>
    </w:p>
    <w:p>
      <w:pPr>
        <w:pStyle w:val="Heading2"/>
        <w:spacing w:after="100" w:before="240"/>
      </w:pPr>
      <w:r>
        <w:rPr>
          <w:rFonts w:ascii="Arial" w:cs="Arial" w:eastAsia="Arial" w:hAnsi="Arial"/>
          <w:b/>
          <w:bCs/>
          <w:color w:val="2E7D32"/>
          <w:sz w:val="24"/>
          <w:szCs w:val="24"/>
        </w:rPr>
        <w:t xml:space="preserve">1.5 Análisis de la Competencia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Competidor</w:t>
            </w:r>
          </w:p>
        </w:tc>
        <w:tc>
          <w:tcPr>
            <w:tcW w:type="dxa" w:w="34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Fortaleza</w:t>
            </w:r>
          </w:p>
        </w:tc>
        <w:tc>
          <w:tcPr>
            <w:tcW w:type="dxa" w:w="34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Debilidad frente a NutriCiclo</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Sal mineral convencional</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Precio bajo, disponibilidad</w:t>
            </w:r>
          </w:p>
        </w:tc>
        <w:tc>
          <w:tcPr>
            <w:tcW w:type="dxa" w:w="3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Bajo impacto nutricional</w:t>
            </w:r>
          </w:p>
        </w:tc>
      </w:tr>
      <w:tr>
        <w:tc>
          <w:tcPr>
            <w:tcW w:type="dxa" w:w="2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Balanceado comercial</w:t>
            </w:r>
          </w:p>
        </w:tc>
        <w:tc>
          <w:tcPr>
            <w:tcW w:type="dxa" w:w="3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Alto valor nutricional</w:t>
            </w:r>
          </w:p>
        </w:tc>
        <w:tc>
          <w:tcPr>
            <w:tcW w:type="dxa" w:w="34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Alto costo, logística compleja</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Rollos de pasto (heno)</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Disponibilidad regional</w:t>
            </w:r>
          </w:p>
        </w:tc>
        <w:tc>
          <w:tcPr>
            <w:tcW w:type="dxa" w:w="3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Bs 250–280/rollo, perecedero</w:t>
            </w:r>
          </w:p>
        </w:tc>
      </w:tr>
      <w:tr>
        <w:tc>
          <w:tcPr>
            <w:tcW w:type="dxa" w:w="2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Bloques sin BSF (importados)</w:t>
            </w:r>
          </w:p>
        </w:tc>
        <w:tc>
          <w:tcPr>
            <w:tcW w:type="dxa" w:w="3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Reconocimiento de marca</w:t>
            </w:r>
          </w:p>
        </w:tc>
        <w:tc>
          <w:tcPr>
            <w:tcW w:type="dxa" w:w="34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 producción local, precio alto</w:t>
            </w:r>
          </w:p>
        </w:tc>
      </w:tr>
    </w:tbl>
    <w:p>
      <w:r>
        <w:t xml:space="preserve"/>
      </w:r>
    </w:p>
    <w:p>
      <w:pPr>
        <w:pStyle w:val="Heading2"/>
        <w:spacing w:after="100" w:before="240"/>
      </w:pPr>
      <w:r>
        <w:rPr>
          <w:rFonts w:ascii="Arial" w:cs="Arial" w:eastAsia="Arial" w:hAnsi="Arial"/>
          <w:b/>
          <w:bCs/>
          <w:color w:val="2E7D32"/>
          <w:sz w:val="24"/>
          <w:szCs w:val="24"/>
        </w:rPr>
        <w:t xml:space="preserve">1.6 Demanda Potencial y Efectiva</w:t>
      </w:r>
    </w:p>
    <w:p>
      <w:pPr>
        <w:spacing w:after="80" w:before="80"/>
        <w:jc w:val="both"/>
      </w:pPr>
      <w:r>
        <w:rPr>
          <w:rFonts w:ascii="Arial" w:cs="Arial" w:eastAsia="Arial" w:hAnsi="Arial"/>
          <w:b w:val="false"/>
          <w:bCs w:val="false"/>
          <w:i w:val="false"/>
          <w:iCs w:val="false"/>
          <w:sz w:val="22"/>
          <w:szCs w:val="22"/>
        </w:rPr>
        <w:t xml:space="preserve">Con base en un universo de 9.000 ganaderos medianos en el área de influencia, cada uno con un promedio de 75 cabezas, la demanda total calculada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Cálculo de demanda</w:t>
            </w:r>
          </w:p>
        </w:tc>
        <w:tc>
          <w:tcPr>
            <w:tcW w:type="dxa" w:w="51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Resultado</w:t>
            </w:r>
          </w:p>
        </w:tc>
      </w:tr>
      <w:tr>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Total de cabezas en el segmento</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675.000 cabezas</w:t>
            </w:r>
          </w:p>
        </w:tc>
      </w:tr>
      <w:tr>
        <w:tc>
          <w:tcPr>
            <w:tcW w:type="dxa" w:w="42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Cabezas que alimenta 1 bloque/día</w:t>
            </w:r>
          </w:p>
        </w:tc>
        <w:tc>
          <w:tcPr>
            <w:tcW w:type="dxa" w:w="51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31,25 cabezas</w:t>
            </w:r>
          </w:p>
        </w:tc>
      </w:tr>
      <w:tr>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Bloques necesarios/día (demanda total)</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21.600 bloques/día</w:t>
            </w:r>
          </w:p>
        </w:tc>
      </w:tr>
      <w:tr>
        <w:tc>
          <w:tcPr>
            <w:tcW w:type="dxa" w:w="42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Capacidad de producción NutriCiclo/día</w:t>
            </w:r>
          </w:p>
        </w:tc>
        <w:tc>
          <w:tcPr>
            <w:tcW w:type="dxa" w:w="51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360 bloques/día</w:t>
            </w:r>
          </w:p>
        </w:tc>
      </w:tr>
      <w:tr>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Participación de mercado inicial</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 del total del segmento</w:t>
            </w:r>
          </w:p>
        </w:tc>
      </w:tr>
    </w:tbl>
    <w:p>
      <w:pPr>
        <w:pBdr>
          <w:bottom w:val="single" w:color="4CAF50" w:sz="4" w:space="1"/>
        </w:pBdr>
        <w:spacing w:after="120" w:before="120"/>
      </w:pPr>
    </w:p>
    <w:p>
      <w:pPr>
        <w:pStyle w:val="Heading1"/>
        <w:spacing w:after="120" w:before="300"/>
      </w:pPr>
      <w:r>
        <w:rPr>
          <w:rFonts w:ascii="Arial" w:cs="Arial" w:eastAsia="Arial" w:hAnsi="Arial"/>
          <w:b/>
          <w:bCs/>
          <w:color w:val="1B5E20"/>
          <w:sz w:val="28"/>
          <w:szCs w:val="28"/>
        </w:rPr>
        <w:t xml:space="preserve">CAPÍTULO 2: PLAN OPERATIVO</w:t>
      </w:r>
    </w:p>
    <w:p>
      <w:pPr>
        <w:spacing w:after="80" w:before="80"/>
        <w:jc w:val="center"/>
      </w:pPr>
      <w:r>
        <w:rPr>
          <w:rFonts w:ascii="Arial" w:cs="Arial" w:eastAsia="Arial" w:hAnsi="Arial"/>
          <w:b/>
          <w:bCs/>
          <w:i w:val="false"/>
          <w:iCs w:val="false"/>
          <w:sz w:val="22"/>
          <w:szCs w:val="22"/>
        </w:rPr>
        <w:t xml:space="preserve">MODELO CANVAS – RECURSOS CLAVE Y ACTIVIDADES CLAVE</w:t>
      </w:r>
    </w:p>
    <w:p>
      <w:r>
        <w:t xml:space="preserve"/>
      </w:r>
    </w:p>
    <w:p>
      <w:pPr>
        <w:pStyle w:val="Heading2"/>
        <w:spacing w:after="100" w:before="240"/>
      </w:pPr>
      <w:r>
        <w:rPr>
          <w:rFonts w:ascii="Arial" w:cs="Arial" w:eastAsia="Arial" w:hAnsi="Arial"/>
          <w:b/>
          <w:bCs/>
          <w:color w:val="2E7D32"/>
          <w:sz w:val="24"/>
          <w:szCs w:val="24"/>
        </w:rPr>
        <w:t xml:space="preserve">2.1 Descripción del Proceso Productivo</w:t>
      </w:r>
    </w:p>
    <w:p>
      <w:pPr>
        <w:spacing w:after="80" w:before="80"/>
        <w:jc w:val="both"/>
      </w:pPr>
      <w:r>
        <w:rPr>
          <w:rFonts w:ascii="Arial" w:cs="Arial" w:eastAsia="Arial" w:hAnsi="Arial"/>
          <w:b w:val="false"/>
          <w:bCs w:val="false"/>
          <w:i w:val="false"/>
          <w:iCs w:val="false"/>
          <w:sz w:val="22"/>
          <w:szCs w:val="22"/>
        </w:rPr>
        <w:t xml:space="preserve">El proceso productivo de NutriCiclo SCZ se estructura en tres fases secuenciales:</w:t>
      </w:r>
    </w:p>
    <w:p>
      <w:pPr>
        <w:pStyle w:val="Heading3"/>
        <w:spacing w:after="80" w:before="180"/>
      </w:pPr>
      <w:r>
        <w:rPr>
          <w:rFonts w:ascii="Arial" w:cs="Arial" w:eastAsia="Arial" w:hAnsi="Arial"/>
          <w:b/>
          <w:bCs/>
          <w:color w:val="388E3C"/>
          <w:sz w:val="22"/>
          <w:szCs w:val="22"/>
        </w:rPr>
        <w:t xml:space="preserve">Fase 1: Recepción y Preparación de Materia Prima</w:t>
      </w:r>
    </w:p>
    <w:p>
      <w:pPr>
        <w:pStyle w:val="ListParagraph"/>
        <w:numPr>
          <w:ilvl w:val="0"/>
          <w:numId w:val="2"/>
        </w:numPr>
        <w:spacing w:after="60" w:before="60"/>
      </w:pPr>
      <w:r>
        <w:rPr>
          <w:rFonts w:ascii="Arial" w:cs="Arial" w:eastAsia="Arial" w:hAnsi="Arial"/>
          <w:b w:val="false"/>
          <w:bCs w:val="false"/>
          <w:sz w:val="22"/>
          <w:szCs w:val="22"/>
        </w:rPr>
        <w:t xml:space="preserve">Recepción y pesaje de residuos orgánicos (sangre, hueso, melaza, cascarilla de arroz).</w:t>
      </w:r>
    </w:p>
    <w:p>
      <w:pPr>
        <w:pStyle w:val="ListParagraph"/>
        <w:numPr>
          <w:ilvl w:val="0"/>
          <w:numId w:val="2"/>
        </w:numPr>
        <w:spacing w:after="60" w:before="60"/>
      </w:pPr>
      <w:r>
        <w:rPr>
          <w:rFonts w:ascii="Arial" w:cs="Arial" w:eastAsia="Arial" w:hAnsi="Arial"/>
          <w:b w:val="false"/>
          <w:bCs w:val="false"/>
          <w:sz w:val="22"/>
          <w:szCs w:val="22"/>
        </w:rPr>
        <w:t xml:space="preserve">Triturado de residuos sólidos hasta partícula fina uniforme.</w:t>
      </w:r>
    </w:p>
    <w:p>
      <w:pPr>
        <w:pStyle w:val="ListParagraph"/>
        <w:numPr>
          <w:ilvl w:val="0"/>
          <w:numId w:val="2"/>
        </w:numPr>
        <w:spacing w:after="60" w:before="60"/>
      </w:pPr>
      <w:r>
        <w:rPr>
          <w:rFonts w:ascii="Arial" w:cs="Arial" w:eastAsia="Arial" w:hAnsi="Arial"/>
          <w:b w:val="false"/>
          <w:bCs w:val="false"/>
          <w:sz w:val="22"/>
          <w:szCs w:val="22"/>
        </w:rPr>
        <w:t xml:space="preserve">Control de calidad de materia prima entrante (humedad, contaminantes).</w:t>
      </w:r>
    </w:p>
    <w:p>
      <w:pPr>
        <w:pStyle w:val="Heading3"/>
        <w:spacing w:after="80" w:before="180"/>
      </w:pPr>
      <w:r>
        <w:rPr>
          <w:rFonts w:ascii="Arial" w:cs="Arial" w:eastAsia="Arial" w:hAnsi="Arial"/>
          <w:b/>
          <w:bCs/>
          <w:color w:val="388E3C"/>
          <w:sz w:val="22"/>
          <w:szCs w:val="22"/>
        </w:rPr>
        <w:t xml:space="preserve">Fase 2: Cría BSF y Producción de Harina</w:t>
      </w:r>
    </w:p>
    <w:p>
      <w:pPr>
        <w:pStyle w:val="ListParagraph"/>
        <w:numPr>
          <w:ilvl w:val="0"/>
          <w:numId w:val="2"/>
        </w:numPr>
        <w:spacing w:after="60" w:before="60"/>
      </w:pPr>
      <w:r>
        <w:rPr>
          <w:rFonts w:ascii="Arial" w:cs="Arial" w:eastAsia="Arial" w:hAnsi="Arial"/>
          <w:b w:val="false"/>
          <w:bCs w:val="false"/>
          <w:sz w:val="22"/>
          <w:szCs w:val="22"/>
        </w:rPr>
        <w:t xml:space="preserve">Alimentación de módulos BSF con residuos orgánicos clasificados.</w:t>
      </w:r>
    </w:p>
    <w:p>
      <w:pPr>
        <w:pStyle w:val="ListParagraph"/>
        <w:numPr>
          <w:ilvl w:val="0"/>
          <w:numId w:val="2"/>
        </w:numPr>
        <w:spacing w:after="60" w:before="60"/>
      </w:pPr>
      <w:r>
        <w:rPr>
          <w:rFonts w:ascii="Arial" w:cs="Arial" w:eastAsia="Arial" w:hAnsi="Arial"/>
          <w:b w:val="false"/>
          <w:bCs w:val="false"/>
          <w:sz w:val="22"/>
          <w:szCs w:val="22"/>
        </w:rPr>
        <w:t xml:space="preserve">Monitoreo de condiciones ambientales (temperatura 28–32°C, humedad 60–70%).</w:t>
      </w:r>
    </w:p>
    <w:p>
      <w:pPr>
        <w:pStyle w:val="ListParagraph"/>
        <w:numPr>
          <w:ilvl w:val="0"/>
          <w:numId w:val="2"/>
        </w:numPr>
        <w:spacing w:after="60" w:before="60"/>
      </w:pPr>
      <w:r>
        <w:rPr>
          <w:rFonts w:ascii="Arial" w:cs="Arial" w:eastAsia="Arial" w:hAnsi="Arial"/>
          <w:b w:val="false"/>
          <w:bCs w:val="false"/>
          <w:sz w:val="22"/>
          <w:szCs w:val="22"/>
        </w:rPr>
        <w:t xml:space="preserve">Cosecha de larvas en fase pre-pupa, secado y molienda para obtener harina proteica.</w:t>
      </w:r>
    </w:p>
    <w:p>
      <w:pPr>
        <w:pStyle w:val="Heading3"/>
        <w:spacing w:after="80" w:before="180"/>
      </w:pPr>
      <w:r>
        <w:rPr>
          <w:rFonts w:ascii="Arial" w:cs="Arial" w:eastAsia="Arial" w:hAnsi="Arial"/>
          <w:b/>
          <w:bCs/>
          <w:color w:val="388E3C"/>
          <w:sz w:val="22"/>
          <w:szCs w:val="22"/>
        </w:rPr>
        <w:t xml:space="preserve">Fase 3: Formulación, Prensado y Empaque</w:t>
      </w:r>
    </w:p>
    <w:p>
      <w:pPr>
        <w:pStyle w:val="ListParagraph"/>
        <w:numPr>
          <w:ilvl w:val="0"/>
          <w:numId w:val="2"/>
        </w:numPr>
        <w:spacing w:after="60" w:before="60"/>
      </w:pPr>
      <w:r>
        <w:rPr>
          <w:rFonts w:ascii="Arial" w:cs="Arial" w:eastAsia="Arial" w:hAnsi="Arial"/>
          <w:b w:val="false"/>
          <w:bCs w:val="false"/>
          <w:sz w:val="22"/>
          <w:szCs w:val="22"/>
        </w:rPr>
        <w:t xml:space="preserve">Dosificación precisa de los 10 ingredientes según formulación técnica.</w:t>
      </w:r>
    </w:p>
    <w:p>
      <w:pPr>
        <w:pStyle w:val="ListParagraph"/>
        <w:numPr>
          <w:ilvl w:val="0"/>
          <w:numId w:val="2"/>
        </w:numPr>
        <w:spacing w:after="60" w:before="60"/>
      </w:pPr>
      <w:r>
        <w:rPr>
          <w:rFonts w:ascii="Arial" w:cs="Arial" w:eastAsia="Arial" w:hAnsi="Arial"/>
          <w:b w:val="false"/>
          <w:bCs w:val="false"/>
          <w:sz w:val="22"/>
          <w:szCs w:val="22"/>
        </w:rPr>
        <w:t xml:space="preserve">Mezclado húmedo hasta obtener consistencia homogénea.</w:t>
      </w:r>
    </w:p>
    <w:p>
      <w:pPr>
        <w:pStyle w:val="ListParagraph"/>
        <w:numPr>
          <w:ilvl w:val="0"/>
          <w:numId w:val="2"/>
        </w:numPr>
        <w:spacing w:after="60" w:before="60"/>
      </w:pPr>
      <w:r>
        <w:rPr>
          <w:rFonts w:ascii="Arial" w:cs="Arial" w:eastAsia="Arial" w:hAnsi="Arial"/>
          <w:b w:val="false"/>
          <w:bCs w:val="false"/>
          <w:sz w:val="22"/>
          <w:szCs w:val="22"/>
        </w:rPr>
        <w:t xml:space="preserve">Prensado hidráulico en moldes de 25 kg. Curado y secado 24–48 horas.</w:t>
      </w:r>
    </w:p>
    <w:p>
      <w:pPr>
        <w:pStyle w:val="ListParagraph"/>
        <w:numPr>
          <w:ilvl w:val="0"/>
          <w:numId w:val="2"/>
        </w:numPr>
        <w:spacing w:after="60" w:before="60"/>
      </w:pPr>
      <w:r>
        <w:rPr>
          <w:rFonts w:ascii="Arial" w:cs="Arial" w:eastAsia="Arial" w:hAnsi="Arial"/>
          <w:b w:val="false"/>
          <w:bCs w:val="false"/>
          <w:sz w:val="22"/>
          <w:szCs w:val="22"/>
        </w:rPr>
        <w:t xml:space="preserve">Control de calidad del producto terminado, empaque y etiquetado.</w:t>
      </w:r>
    </w:p>
    <w:p>
      <w:pPr>
        <w:pStyle w:val="Heading2"/>
        <w:spacing w:after="100" w:before="240"/>
      </w:pPr>
      <w:r>
        <w:rPr>
          <w:rFonts w:ascii="Arial" w:cs="Arial" w:eastAsia="Arial" w:hAnsi="Arial"/>
          <w:b/>
          <w:bCs/>
          <w:color w:val="2E7D32"/>
          <w:sz w:val="24"/>
          <w:szCs w:val="24"/>
        </w:rPr>
        <w:t xml:space="preserve">2.2 Formulación del Bloque Multinutricional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2400"/>
        <w:gridCol w:w="2560"/>
      </w:tblGrid>
      <w:tr>
        <w:tc>
          <w:tcPr>
            <w:tcW w:type="dxa" w:w="270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Ingrediente</w:t>
            </w:r>
          </w:p>
        </w:tc>
        <w:tc>
          <w:tcPr>
            <w:tcW w:type="dxa" w:w="170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Proporción</w:t>
            </w:r>
          </w:p>
        </w:tc>
        <w:tc>
          <w:tcPr>
            <w:tcW w:type="dxa" w:w="240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Precio (Bs/kg)</w:t>
            </w:r>
          </w:p>
        </w:tc>
        <w:tc>
          <w:tcPr>
            <w:tcW w:type="dxa" w:w="256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Costo por bloque (Bs)</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Melaza de caña</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4,86</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36,45</w:t>
            </w:r>
          </w:p>
        </w:tc>
      </w:tr>
      <w:tr>
        <w:tc>
          <w:tcPr>
            <w:tcW w:type="dxa" w:w="27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Harina de sangre</w:t>
            </w:r>
          </w:p>
        </w:tc>
        <w:tc>
          <w:tcPr>
            <w:tcW w:type="dxa" w:w="17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w:t>
            </w:r>
          </w:p>
        </w:tc>
        <w:tc>
          <w:tcPr>
            <w:tcW w:type="dxa" w:w="24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3,50</w:t>
            </w:r>
          </w:p>
        </w:tc>
        <w:tc>
          <w:tcPr>
            <w:tcW w:type="dxa" w:w="256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8,75</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Cascarilla de arroz</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0,50</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1,25</w:t>
            </w:r>
          </w:p>
        </w:tc>
      </w:tr>
      <w:tr>
        <w:tc>
          <w:tcPr>
            <w:tcW w:type="dxa" w:w="27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Afrecho de soya</w:t>
            </w:r>
          </w:p>
        </w:tc>
        <w:tc>
          <w:tcPr>
            <w:tcW w:type="dxa" w:w="17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15%</w:t>
            </w:r>
          </w:p>
        </w:tc>
        <w:tc>
          <w:tcPr>
            <w:tcW w:type="dxa" w:w="24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1,80</w:t>
            </w:r>
          </w:p>
        </w:tc>
        <w:tc>
          <w:tcPr>
            <w:tcW w:type="dxa" w:w="256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6,75</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Cal viva</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1,20</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3,00</w:t>
            </w:r>
          </w:p>
        </w:tc>
      </w:tr>
      <w:tr>
        <w:tc>
          <w:tcPr>
            <w:tcW w:type="dxa" w:w="27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Urea agrícola</w:t>
            </w:r>
          </w:p>
        </w:tc>
        <w:tc>
          <w:tcPr>
            <w:tcW w:type="dxa" w:w="17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w:t>
            </w:r>
          </w:p>
        </w:tc>
        <w:tc>
          <w:tcPr>
            <w:tcW w:type="dxa" w:w="24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4,50</w:t>
            </w:r>
          </w:p>
        </w:tc>
        <w:tc>
          <w:tcPr>
            <w:tcW w:type="dxa" w:w="256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11,25</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Harina de larvas BSF</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1,50</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1,50</w:t>
            </w:r>
          </w:p>
        </w:tc>
      </w:tr>
      <w:tr>
        <w:tc>
          <w:tcPr>
            <w:tcW w:type="dxa" w:w="27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Sal mineral</w:t>
            </w:r>
          </w:p>
        </w:tc>
        <w:tc>
          <w:tcPr>
            <w:tcW w:type="dxa" w:w="17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5%</w:t>
            </w:r>
          </w:p>
        </w:tc>
        <w:tc>
          <w:tcPr>
            <w:tcW w:type="dxa" w:w="24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3,20</w:t>
            </w:r>
          </w:p>
        </w:tc>
        <w:tc>
          <w:tcPr>
            <w:tcW w:type="dxa" w:w="256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4,00</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Harina de hueso</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2,50</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3,13</w:t>
            </w:r>
          </w:p>
        </w:tc>
      </w:tr>
      <w:tr>
        <w:tc>
          <w:tcPr>
            <w:tcW w:type="dxa" w:w="27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Azufre</w:t>
            </w:r>
          </w:p>
        </w:tc>
        <w:tc>
          <w:tcPr>
            <w:tcW w:type="dxa" w:w="17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24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8,00</w:t>
            </w:r>
          </w:p>
        </w:tc>
        <w:tc>
          <w:tcPr>
            <w:tcW w:type="dxa" w:w="256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2,00</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TOTAL COSTO VARIABLE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78,08</w:t>
            </w:r>
          </w:p>
        </w:tc>
      </w:tr>
    </w:tbl>
    <w:p>
      <w:r>
        <w:t xml:space="preserve"/>
      </w:r>
    </w:p>
    <w:p>
      <w:pPr>
        <w:spacing w:after="80" w:before="80"/>
        <w:jc w:val="left"/>
      </w:pPr>
      <w:r>
        <w:rPr>
          <w:rFonts w:ascii="Arial" w:cs="Arial" w:eastAsia="Arial" w:hAnsi="Arial"/>
          <w:b w:val="false"/>
          <w:bCs w:val="false"/>
          <w:i/>
          <w:iCs/>
          <w:sz w:val="20"/>
          <w:szCs w:val="20"/>
        </w:rPr>
        <w:t xml:space="preserve">Nota: El consumo promedio por animal es de 0,8 kg/día, lo que permite que un bloque de 25 kg alimente a 31,25 cabezas durante un día (Villanueva Pedraza et al., 2023).</w:t>
      </w:r>
    </w:p>
    <w:p>
      <w:pPr>
        <w:pStyle w:val="Heading2"/>
        <w:spacing w:after="100" w:before="240"/>
      </w:pPr>
      <w:r>
        <w:rPr>
          <w:rFonts w:ascii="Arial" w:cs="Arial" w:eastAsia="Arial" w:hAnsi="Arial"/>
          <w:b/>
          <w:bCs/>
          <w:color w:val="2E7D32"/>
          <w:sz w:val="24"/>
          <w:szCs w:val="24"/>
        </w:rPr>
        <w:t xml:space="preserve">2.3 Equipos e Instalaciones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060"/>
      </w:tblGrid>
      <w:tr>
        <w:tc>
          <w:tcPr>
            <w:tcW w:type="dxa" w:w="27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Equipo</w:t>
            </w:r>
          </w:p>
        </w:tc>
        <w:tc>
          <w:tcPr>
            <w:tcW w:type="dxa" w:w="1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Cantidad</w:t>
            </w:r>
          </w:p>
        </w:tc>
        <w:tc>
          <w:tcPr>
            <w:tcW w:type="dxa" w:w="50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Función principal</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Trituradora industrial</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5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Reducción de residuos sólidos</w:t>
            </w:r>
          </w:p>
        </w:tc>
      </w:tr>
      <w:tr>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Mezcladora horizontal 500 L</w:t>
            </w:r>
          </w:p>
        </w:tc>
        <w:tc>
          <w:tcPr>
            <w:tcW w:type="dxa" w:w="1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50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Homogenización de ingredientes</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Prensa hidráulica</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5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Compactado de bloques 25 kg</w:t>
            </w:r>
          </w:p>
        </w:tc>
      </w:tr>
      <w:tr>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Báscula industrial 500 kg</w:t>
            </w:r>
          </w:p>
        </w:tc>
        <w:tc>
          <w:tcPr>
            <w:tcW w:type="dxa" w:w="1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50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Pesaje de materia prima</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Módulos BSF (5 m²)</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w:t>
            </w:r>
          </w:p>
        </w:tc>
        <w:tc>
          <w:tcPr>
            <w:tcW w:type="dxa" w:w="5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Cría de larvas Hermetia illucens</w:t>
            </w:r>
          </w:p>
        </w:tc>
      </w:tr>
      <w:tr>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Secador rotatorio</w:t>
            </w:r>
          </w:p>
        </w:tc>
        <w:tc>
          <w:tcPr>
            <w:tcW w:type="dxa" w:w="1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50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Deshidratado de larvas cosechadas</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Molino harinero</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5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Obtención de harina BSF</w:t>
            </w:r>
          </w:p>
        </w:tc>
      </w:tr>
      <w:tr>
        <w:tc>
          <w:tcPr>
            <w:tcW w:type="dxa" w:w="27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Vehículo de distribución</w:t>
            </w:r>
          </w:p>
        </w:tc>
        <w:tc>
          <w:tcPr>
            <w:tcW w:type="dxa" w:w="16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50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Despacho y entregas regionales</w:t>
            </w:r>
          </w:p>
        </w:tc>
      </w:tr>
    </w:tbl>
    <w:p>
      <w:r>
        <w:t xml:space="preserve"/>
      </w:r>
    </w:p>
    <w:p>
      <w:pPr>
        <w:pStyle w:val="Heading2"/>
        <w:spacing w:after="100" w:before="240"/>
      </w:pPr>
      <w:r>
        <w:rPr>
          <w:rFonts w:ascii="Arial" w:cs="Arial" w:eastAsia="Arial" w:hAnsi="Arial"/>
          <w:b/>
          <w:bCs/>
          <w:color w:val="2E7D32"/>
          <w:sz w:val="24"/>
          <w:szCs w:val="24"/>
        </w:rPr>
        <w:t xml:space="preserve">2.4 Materia Prima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Insumo</w:t>
            </w:r>
          </w:p>
        </w:tc>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Proveedor principal</w:t>
            </w:r>
          </w:p>
        </w:tc>
        <w:tc>
          <w:tcPr>
            <w:tcW w:type="dxa" w:w="38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Disponibilidad</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Melaza de caña</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Ingenio Guabirá / La Bélgica</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Alta – abundante en SCZ</w:t>
            </w:r>
          </w:p>
        </w:tc>
      </w:tr>
      <w:tr>
        <w:tc>
          <w:tcPr>
            <w:tcW w:type="dxa" w:w="2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Residuos de matadero</w:t>
            </w:r>
          </w:p>
        </w:tc>
        <w:tc>
          <w:tcPr>
            <w:tcW w:type="dxa" w:w="30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Matadero municipal Warnes</w:t>
            </w:r>
          </w:p>
        </w:tc>
        <w:tc>
          <w:tcPr>
            <w:tcW w:type="dxa" w:w="3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Alta – subproducto gratuito</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Cascarilla de arroz</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Arroceras del Norte Integrado</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Alta – bajo costo</w:t>
            </w:r>
          </w:p>
        </w:tc>
      </w:tr>
      <w:tr>
        <w:tc>
          <w:tcPr>
            <w:tcW w:type="dxa" w:w="2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Urea agrícola</w:t>
            </w:r>
          </w:p>
        </w:tc>
        <w:tc>
          <w:tcPr>
            <w:tcW w:type="dxa" w:w="30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Distribuidoras agropecuarias SCZ</w:t>
            </w:r>
          </w:p>
        </w:tc>
        <w:tc>
          <w:tcPr>
            <w:tcW w:type="dxa" w:w="3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Media – importada</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Sal mineral</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Proveedores locales ganaderos</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Alta</w:t>
            </w:r>
          </w:p>
        </w:tc>
      </w:tr>
      <w:tr>
        <w:tc>
          <w:tcPr>
            <w:tcW w:type="dxa" w:w="2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Afrecho de soya</w:t>
            </w:r>
          </w:p>
        </w:tc>
        <w:tc>
          <w:tcPr>
            <w:tcW w:type="dxa" w:w="30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Industrias aceiteras SCZ</w:t>
            </w:r>
          </w:p>
        </w:tc>
        <w:tc>
          <w:tcPr>
            <w:tcW w:type="dxa" w:w="3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Alta – subproducto local</w:t>
            </w:r>
          </w:p>
        </w:tc>
      </w:tr>
    </w:tbl>
    <w:p>
      <w:r>
        <w:t xml:space="preserve"/>
      </w:r>
    </w:p>
    <w:p>
      <w:pPr>
        <w:pStyle w:val="Heading2"/>
        <w:spacing w:after="100" w:before="240"/>
      </w:pPr>
      <w:r>
        <w:rPr>
          <w:rFonts w:ascii="Arial" w:cs="Arial" w:eastAsia="Arial" w:hAnsi="Arial"/>
          <w:b/>
          <w:bCs/>
          <w:color w:val="2E7D32"/>
          <w:sz w:val="24"/>
          <w:szCs w:val="24"/>
        </w:rPr>
        <w:t xml:space="preserve">2.5 Capacidad Instalada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Parámetro de capacidad</w:t>
            </w:r>
          </w:p>
        </w:tc>
        <w:tc>
          <w:tcPr>
            <w:tcW w:type="dxa" w:w="48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Producción diaria (al 100%)</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360 bloques/día</w:t>
            </w:r>
          </w:p>
        </w:tc>
      </w:tr>
      <w:tr>
        <w:tc>
          <w:tcPr>
            <w:tcW w:type="dxa" w:w="4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Producción mensual (al 100%)</w:t>
            </w:r>
          </w:p>
        </w:tc>
        <w:tc>
          <w:tcPr>
            <w:tcW w:type="dxa" w:w="4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9.360 bloques/mes</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Producción Año 1 (40% capacidad)</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1.408 bloques/mes</w:t>
            </w:r>
          </w:p>
        </w:tc>
      </w:tr>
      <w:tr>
        <w:tc>
          <w:tcPr>
            <w:tcW w:type="dxa" w:w="4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Producción Año 5 (objetivo)</w:t>
            </w:r>
          </w:p>
        </w:tc>
        <w:tc>
          <w:tcPr>
            <w:tcW w:type="dxa" w:w="4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9.360 bloques/mes</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Peso por bloque</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 kg</w:t>
            </w:r>
          </w:p>
        </w:tc>
      </w:tr>
      <w:tr>
        <w:tc>
          <w:tcPr>
            <w:tcW w:type="dxa" w:w="4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Toneladas/mes al 100%</w:t>
            </w:r>
          </w:p>
        </w:tc>
        <w:tc>
          <w:tcPr>
            <w:tcW w:type="dxa" w:w="4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234 toneladas</w:t>
            </w:r>
          </w:p>
        </w:tc>
      </w:tr>
    </w:tbl>
    <w:p>
      <w:r>
        <w:t xml:space="preserve"/>
      </w:r>
    </w:p>
    <w:p>
      <w:pPr>
        <w:pStyle w:val="Heading2"/>
        <w:spacing w:after="100" w:before="240"/>
      </w:pPr>
      <w:r>
        <w:rPr>
          <w:rFonts w:ascii="Arial" w:cs="Arial" w:eastAsia="Arial" w:hAnsi="Arial"/>
          <w:b/>
          <w:bCs/>
          <w:color w:val="2E7D32"/>
          <w:sz w:val="24"/>
          <w:szCs w:val="24"/>
        </w:rPr>
        <w:t xml:space="preserve">2.6 Diseño y Distribución de Planta</w:t>
      </w:r>
    </w:p>
    <w:p>
      <w:pPr>
        <w:spacing w:after="80" w:before="80"/>
        <w:jc w:val="both"/>
      </w:pPr>
      <w:r>
        <w:rPr>
          <w:rFonts w:ascii="Arial" w:cs="Arial" w:eastAsia="Arial" w:hAnsi="Arial"/>
          <w:b w:val="false"/>
          <w:bCs w:val="false"/>
          <w:i w:val="false"/>
          <w:iCs w:val="false"/>
          <w:sz w:val="22"/>
          <w:szCs w:val="22"/>
        </w:rPr>
        <w:t xml:space="preserve">La planta se ubicará en el eje industrial de Santa Cruz de la Sierra, con acceso directo a las tres salidas principales del departamento (Norte, Este y Sur). El diseño contempla las siguientes áreas:</w:t>
      </w:r>
    </w:p>
    <w:p>
      <w:pPr>
        <w:pStyle w:val="ListParagraph"/>
        <w:numPr>
          <w:ilvl w:val="0"/>
          <w:numId w:val="2"/>
        </w:numPr>
        <w:spacing w:after="60" w:before="60"/>
      </w:pPr>
      <w:r>
        <w:rPr>
          <w:rFonts w:ascii="Arial" w:cs="Arial" w:eastAsia="Arial" w:hAnsi="Arial"/>
          <w:b w:val="false"/>
          <w:bCs w:val="false"/>
          <w:sz w:val="22"/>
          <w:szCs w:val="22"/>
        </w:rPr>
        <w:t xml:space="preserve">Área de recepción y almacén de materia prima: 150 m²</w:t>
      </w:r>
    </w:p>
    <w:p>
      <w:pPr>
        <w:pStyle w:val="ListParagraph"/>
        <w:numPr>
          <w:ilvl w:val="0"/>
          <w:numId w:val="2"/>
        </w:numPr>
        <w:spacing w:after="60" w:before="60"/>
      </w:pPr>
      <w:r>
        <w:rPr>
          <w:rFonts w:ascii="Arial" w:cs="Arial" w:eastAsia="Arial" w:hAnsi="Arial"/>
          <w:b w:val="false"/>
          <w:bCs w:val="false"/>
          <w:sz w:val="22"/>
          <w:szCs w:val="22"/>
        </w:rPr>
        <w:t xml:space="preserve">Biofábrica BSF (módulos de cría): 200 m²</w:t>
      </w:r>
    </w:p>
    <w:p>
      <w:pPr>
        <w:pStyle w:val="ListParagraph"/>
        <w:numPr>
          <w:ilvl w:val="0"/>
          <w:numId w:val="2"/>
        </w:numPr>
        <w:spacing w:after="60" w:before="60"/>
      </w:pPr>
      <w:r>
        <w:rPr>
          <w:rFonts w:ascii="Arial" w:cs="Arial" w:eastAsia="Arial" w:hAnsi="Arial"/>
          <w:b w:val="false"/>
          <w:bCs w:val="false"/>
          <w:sz w:val="22"/>
          <w:szCs w:val="22"/>
        </w:rPr>
        <w:t xml:space="preserve">Planta de producción (triturado, mezcla, prensado): 300 m²</w:t>
      </w:r>
    </w:p>
    <w:p>
      <w:pPr>
        <w:pStyle w:val="ListParagraph"/>
        <w:numPr>
          <w:ilvl w:val="0"/>
          <w:numId w:val="2"/>
        </w:numPr>
        <w:spacing w:after="60" w:before="60"/>
      </w:pPr>
      <w:r>
        <w:rPr>
          <w:rFonts w:ascii="Arial" w:cs="Arial" w:eastAsia="Arial" w:hAnsi="Arial"/>
          <w:b w:val="false"/>
          <w:bCs w:val="false"/>
          <w:sz w:val="22"/>
          <w:szCs w:val="22"/>
        </w:rPr>
        <w:t xml:space="preserve">Área de curado y almacén de producto terminado: 150 m²</w:t>
      </w:r>
    </w:p>
    <w:p>
      <w:pPr>
        <w:pStyle w:val="ListParagraph"/>
        <w:numPr>
          <w:ilvl w:val="0"/>
          <w:numId w:val="2"/>
        </w:numPr>
        <w:spacing w:after="60" w:before="60"/>
      </w:pPr>
      <w:r>
        <w:rPr>
          <w:rFonts w:ascii="Arial" w:cs="Arial" w:eastAsia="Arial" w:hAnsi="Arial"/>
          <w:b w:val="false"/>
          <w:bCs w:val="false"/>
          <w:sz w:val="22"/>
          <w:szCs w:val="22"/>
        </w:rPr>
        <w:t xml:space="preserve">Área administrativa y laboratorio de calidad: 80 m²</w:t>
      </w:r>
    </w:p>
    <w:p>
      <w:pPr>
        <w:pStyle w:val="ListParagraph"/>
        <w:numPr>
          <w:ilvl w:val="0"/>
          <w:numId w:val="2"/>
        </w:numPr>
        <w:spacing w:after="60" w:before="60"/>
      </w:pPr>
      <w:r>
        <w:rPr>
          <w:rFonts w:ascii="Arial" w:cs="Arial" w:eastAsia="Arial" w:hAnsi="Arial"/>
          <w:b w:val="false"/>
          <w:bCs w:val="false"/>
          <w:sz w:val="22"/>
          <w:szCs w:val="22"/>
        </w:rPr>
        <w:t xml:space="preserve">Área de despacho y logística: 100 m²</w:t>
      </w:r>
    </w:p>
    <w:p>
      <w:pPr>
        <w:spacing w:after="80" w:before="80"/>
        <w:jc w:val="left"/>
      </w:pPr>
      <w:r>
        <w:rPr>
          <w:rFonts w:ascii="Arial" w:cs="Arial" w:eastAsia="Arial" w:hAnsi="Arial"/>
          <w:b/>
          <w:bCs/>
          <w:i w:val="false"/>
          <w:iCs w:val="false"/>
          <w:sz w:val="22"/>
          <w:szCs w:val="22"/>
        </w:rPr>
        <w:t xml:space="preserve">Superficie total requerida: 980 m²</w:t>
      </w:r>
    </w:p>
    <w:p>
      <w:pPr>
        <w:pStyle w:val="Heading2"/>
        <w:spacing w:after="100" w:before="240"/>
      </w:pPr>
      <w:r>
        <w:rPr>
          <w:rFonts w:ascii="Arial" w:cs="Arial" w:eastAsia="Arial" w:hAnsi="Arial"/>
          <w:b/>
          <w:bCs/>
          <w:color w:val="2E7D32"/>
          <w:sz w:val="24"/>
          <w:szCs w:val="24"/>
        </w:rPr>
        <w:t xml:space="preserve">2.7 Mano de Obra Requerida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540"/>
        <w:gridCol w:w="540"/>
        <w:gridCol w:w="1800"/>
        <w:gridCol w:w="2000"/>
        <w:gridCol w:w="1940"/>
      </w:tblGrid>
      <w:tr>
        <w:tc>
          <w:tcPr>
            <w:tcW w:type="dxa" w:w="54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N°</w:t>
            </w:r>
          </w:p>
        </w:tc>
        <w:tc>
          <w:tcPr>
            <w:tcW w:type="dxa" w:w="254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Cargo</w:t>
            </w:r>
          </w:p>
        </w:tc>
        <w:tc>
          <w:tcPr>
            <w:tcW w:type="dxa" w:w="54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Cant.</w:t>
            </w:r>
          </w:p>
        </w:tc>
        <w:tc>
          <w:tcPr>
            <w:tcW w:type="dxa" w:w="180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Sueldo/mes (Bs)</w:t>
            </w:r>
          </w:p>
        </w:tc>
        <w:tc>
          <w:tcPr>
            <w:tcW w:type="dxa" w:w="200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Total/mes (Bs)</w:t>
            </w:r>
          </w:p>
        </w:tc>
        <w:tc>
          <w:tcPr>
            <w:tcW w:type="dxa" w:w="194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Nivel</w:t>
            </w:r>
          </w:p>
        </w:tc>
      </w:tr>
      <w:tr>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Gerente General</w:t>
            </w:r>
          </w:p>
        </w:tc>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12.000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12.000</w:t>
            </w:r>
          </w:p>
        </w:tc>
        <w:tc>
          <w:tcPr>
            <w:tcW w:type="dxa" w:w="19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Directivo</w:t>
            </w:r>
          </w:p>
        </w:tc>
      </w:tr>
      <w:tr>
        <w:tc>
          <w:tcPr>
            <w:tcW w:type="dxa" w:w="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w:t>
            </w:r>
          </w:p>
        </w:tc>
        <w:tc>
          <w:tcPr>
            <w:tcW w:type="dxa" w:w="2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Jefe de Planta/Producción</w:t>
            </w:r>
          </w:p>
        </w:tc>
        <w:tc>
          <w:tcPr>
            <w:tcW w:type="dxa" w:w="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8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8.500</w:t>
            </w:r>
          </w:p>
        </w:tc>
        <w:tc>
          <w:tcPr>
            <w:tcW w:type="dxa" w:w="20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8.500</w:t>
            </w:r>
          </w:p>
        </w:tc>
        <w:tc>
          <w:tcPr>
            <w:tcW w:type="dxa" w:w="19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Directivo</w:t>
            </w:r>
          </w:p>
        </w:tc>
      </w:tr>
      <w:tr>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w:t>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Jefe Comercial/Ventas</w:t>
            </w:r>
          </w:p>
        </w:tc>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7.000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7.000</w:t>
            </w:r>
          </w:p>
        </w:tc>
        <w:tc>
          <w:tcPr>
            <w:tcW w:type="dxa" w:w="19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Administrativo</w:t>
            </w:r>
          </w:p>
        </w:tc>
      </w:tr>
      <w:tr>
        <w:tc>
          <w:tcPr>
            <w:tcW w:type="dxa" w:w="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w:t>
            </w:r>
          </w:p>
        </w:tc>
        <w:tc>
          <w:tcPr>
            <w:tcW w:type="dxa" w:w="2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Contador General</w:t>
            </w:r>
          </w:p>
        </w:tc>
        <w:tc>
          <w:tcPr>
            <w:tcW w:type="dxa" w:w="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8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6.500</w:t>
            </w:r>
          </w:p>
        </w:tc>
        <w:tc>
          <w:tcPr>
            <w:tcW w:type="dxa" w:w="20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6.500</w:t>
            </w:r>
          </w:p>
        </w:tc>
        <w:tc>
          <w:tcPr>
            <w:tcW w:type="dxa" w:w="19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Administrativo</w:t>
            </w:r>
          </w:p>
        </w:tc>
      </w:tr>
      <w:tr>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5</w:t>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Asistente Administrativo</w:t>
            </w:r>
          </w:p>
        </w:tc>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4.000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4.000</w:t>
            </w:r>
          </w:p>
        </w:tc>
        <w:tc>
          <w:tcPr>
            <w:tcW w:type="dxa" w:w="19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Administrativo</w:t>
            </w:r>
          </w:p>
        </w:tc>
      </w:tr>
      <w:tr>
        <w:tc>
          <w:tcPr>
            <w:tcW w:type="dxa" w:w="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2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Supervisor de Turno</w:t>
            </w:r>
          </w:p>
        </w:tc>
        <w:tc>
          <w:tcPr>
            <w:tcW w:type="dxa" w:w="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w:t>
            </w:r>
          </w:p>
        </w:tc>
        <w:tc>
          <w:tcPr>
            <w:tcW w:type="dxa" w:w="18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5.500</w:t>
            </w:r>
          </w:p>
        </w:tc>
        <w:tc>
          <w:tcPr>
            <w:tcW w:type="dxa" w:w="20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11.000</w:t>
            </w:r>
          </w:p>
        </w:tc>
        <w:tc>
          <w:tcPr>
            <w:tcW w:type="dxa" w:w="19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Operativo</w:t>
            </w:r>
          </w:p>
        </w:tc>
      </w:tr>
      <w:tr>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w:t>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Operario Fase 1 (Preparación)</w:t>
            </w:r>
          </w:p>
        </w:tc>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3.800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11.400</w:t>
            </w:r>
          </w:p>
        </w:tc>
        <w:tc>
          <w:tcPr>
            <w:tcW w:type="dxa" w:w="19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Operativo</w:t>
            </w:r>
          </w:p>
        </w:tc>
      </w:tr>
      <w:tr>
        <w:tc>
          <w:tcPr>
            <w:tcW w:type="dxa" w:w="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w:t>
            </w:r>
          </w:p>
        </w:tc>
        <w:tc>
          <w:tcPr>
            <w:tcW w:type="dxa" w:w="2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Operario Fase 2 (Mezcla)</w:t>
            </w:r>
          </w:p>
        </w:tc>
        <w:tc>
          <w:tcPr>
            <w:tcW w:type="dxa" w:w="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w:t>
            </w:r>
          </w:p>
        </w:tc>
        <w:tc>
          <w:tcPr>
            <w:tcW w:type="dxa" w:w="18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3.800</w:t>
            </w:r>
          </w:p>
        </w:tc>
        <w:tc>
          <w:tcPr>
            <w:tcW w:type="dxa" w:w="20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7.600</w:t>
            </w:r>
          </w:p>
        </w:tc>
        <w:tc>
          <w:tcPr>
            <w:tcW w:type="dxa" w:w="19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Operativo</w:t>
            </w:r>
          </w:p>
        </w:tc>
      </w:tr>
      <w:tr>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9</w:t>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Operario Fase 3 (Moldeo/Empaque)</w:t>
            </w:r>
          </w:p>
        </w:tc>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3.500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10.500</w:t>
            </w:r>
          </w:p>
        </w:tc>
        <w:tc>
          <w:tcPr>
            <w:tcW w:type="dxa" w:w="19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Operativo</w:t>
            </w:r>
          </w:p>
        </w:tc>
      </w:tr>
      <w:tr>
        <w:tc>
          <w:tcPr>
            <w:tcW w:type="dxa" w:w="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w:t>
            </w:r>
          </w:p>
        </w:tc>
        <w:tc>
          <w:tcPr>
            <w:tcW w:type="dxa" w:w="2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Técnico Biofábrica BSF</w:t>
            </w:r>
          </w:p>
        </w:tc>
        <w:tc>
          <w:tcPr>
            <w:tcW w:type="dxa" w:w="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8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5.000</w:t>
            </w:r>
          </w:p>
        </w:tc>
        <w:tc>
          <w:tcPr>
            <w:tcW w:type="dxa" w:w="20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5.000</w:t>
            </w:r>
          </w:p>
        </w:tc>
        <w:tc>
          <w:tcPr>
            <w:tcW w:type="dxa" w:w="19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Operativo</w:t>
            </w:r>
          </w:p>
        </w:tc>
      </w:tr>
      <w:tr>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11</w:t>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Técnico de Mantenimiento</w:t>
            </w:r>
          </w:p>
        </w:tc>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5.000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5.000</w:t>
            </w:r>
          </w:p>
        </w:tc>
        <w:tc>
          <w:tcPr>
            <w:tcW w:type="dxa" w:w="19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Operativo</w:t>
            </w:r>
          </w:p>
        </w:tc>
      </w:tr>
      <w:tr>
        <w:tc>
          <w:tcPr>
            <w:tcW w:type="dxa" w:w="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w:t>
            </w:r>
          </w:p>
        </w:tc>
        <w:tc>
          <w:tcPr>
            <w:tcW w:type="dxa" w:w="2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Responsable de Calidad</w:t>
            </w:r>
          </w:p>
        </w:tc>
        <w:tc>
          <w:tcPr>
            <w:tcW w:type="dxa" w:w="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8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5.500</w:t>
            </w:r>
          </w:p>
        </w:tc>
        <w:tc>
          <w:tcPr>
            <w:tcW w:type="dxa" w:w="20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5.500</w:t>
            </w:r>
          </w:p>
        </w:tc>
        <w:tc>
          <w:tcPr>
            <w:tcW w:type="dxa" w:w="19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Operativo</w:t>
            </w:r>
          </w:p>
        </w:tc>
      </w:tr>
      <w:tr>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13</w:t>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Chofer/Despachador</w:t>
            </w:r>
          </w:p>
        </w:tc>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3.800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3.800</w:t>
            </w:r>
          </w:p>
        </w:tc>
        <w:tc>
          <w:tcPr>
            <w:tcW w:type="dxa" w:w="19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Apoyo</w:t>
            </w:r>
          </w:p>
        </w:tc>
      </w:tr>
      <w:tr>
        <w:tc>
          <w:tcPr>
            <w:tcW w:type="dxa" w:w="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14</w:t>
            </w:r>
          </w:p>
        </w:tc>
        <w:tc>
          <w:tcPr>
            <w:tcW w:type="dxa" w:w="2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Almacenero</w:t>
            </w:r>
          </w:p>
        </w:tc>
        <w:tc>
          <w:tcPr>
            <w:tcW w:type="dxa" w:w="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8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3.500</w:t>
            </w:r>
          </w:p>
        </w:tc>
        <w:tc>
          <w:tcPr>
            <w:tcW w:type="dxa" w:w="20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3.500</w:t>
            </w:r>
          </w:p>
        </w:tc>
        <w:tc>
          <w:tcPr>
            <w:tcW w:type="dxa" w:w="19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Apoyo</w:t>
            </w:r>
          </w:p>
        </w:tc>
      </w:tr>
      <w:tr>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15</w:t>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Personal de Limpieza</w:t>
            </w:r>
          </w:p>
        </w:tc>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3.300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3.300</w:t>
            </w:r>
          </w:p>
        </w:tc>
        <w:tc>
          <w:tcPr>
            <w:tcW w:type="dxa" w:w="19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Apoyo</w:t>
            </w:r>
          </w:p>
        </w:tc>
      </w:tr>
      <w:tr>
        <w:tc>
          <w:tcPr>
            <w:tcW w:type="dxa" w:w="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16</w:t>
            </w:r>
          </w:p>
        </w:tc>
        <w:tc>
          <w:tcPr>
            <w:tcW w:type="dxa" w:w="2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Vigilante/Seguridad</w:t>
            </w:r>
          </w:p>
        </w:tc>
        <w:tc>
          <w:tcPr>
            <w:tcW w:type="dxa" w:w="5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w:t>
            </w:r>
          </w:p>
        </w:tc>
        <w:tc>
          <w:tcPr>
            <w:tcW w:type="dxa" w:w="18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3.300</w:t>
            </w:r>
          </w:p>
        </w:tc>
        <w:tc>
          <w:tcPr>
            <w:tcW w:type="dxa" w:w="20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6.600</w:t>
            </w:r>
          </w:p>
        </w:tc>
        <w:tc>
          <w:tcPr>
            <w:tcW w:type="dxa" w:w="194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Apoyo</w:t>
            </w:r>
          </w:p>
        </w:tc>
      </w:tr>
      <w:tr>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TOTAL PLANILLA</w:t>
            </w:r>
          </w:p>
        </w:tc>
        <w:tc>
          <w:tcPr>
            <w:tcW w:type="dxa" w:w="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111.200</w:t>
            </w:r>
          </w:p>
        </w:tc>
        <w:tc>
          <w:tcPr>
            <w:tcW w:type="dxa" w:w="19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w:r>
          </w:p>
        </w:tc>
      </w:tr>
    </w:tbl>
    <w:p>
      <w:r>
        <w:t xml:space="preserve"/>
      </w:r>
    </w:p>
    <w:p>
      <w:pPr>
        <w:pBdr>
          <w:bottom w:val="single" w:color="4CAF50" w:sz="4" w:space="1"/>
        </w:pBdr>
        <w:spacing w:after="120" w:before="120"/>
      </w:pPr>
    </w:p>
    <w:p>
      <w:pPr>
        <w:pStyle w:val="Heading1"/>
        <w:spacing w:after="120" w:before="300"/>
      </w:pPr>
      <w:r>
        <w:rPr>
          <w:rFonts w:ascii="Arial" w:cs="Arial" w:eastAsia="Arial" w:hAnsi="Arial"/>
          <w:b/>
          <w:bCs/>
          <w:color w:val="1B5E20"/>
          <w:sz w:val="28"/>
          <w:szCs w:val="28"/>
        </w:rPr>
        <w:t xml:space="preserve">CAPÍTULO 3: PLAN DE MARKETING</w:t>
      </w:r>
    </w:p>
    <w:p>
      <w:pPr>
        <w:spacing w:after="80" w:before="80"/>
        <w:jc w:val="center"/>
      </w:pPr>
      <w:r>
        <w:rPr>
          <w:rFonts w:ascii="Arial" w:cs="Arial" w:eastAsia="Arial" w:hAnsi="Arial"/>
          <w:b/>
          <w:bCs/>
          <w:i w:val="false"/>
          <w:iCs w:val="false"/>
          <w:sz w:val="22"/>
          <w:szCs w:val="22"/>
        </w:rPr>
        <w:t xml:space="preserve">MODELO CANVAS – RELACIÓN CON EL CLIENTE Y PROPUESTA DE VALOR</w:t>
      </w:r>
    </w:p>
    <w:p>
      <w:r>
        <w:t xml:space="preserve"/>
      </w:r>
    </w:p>
    <w:p>
      <w:pPr>
        <w:pStyle w:val="Heading2"/>
        <w:spacing w:after="100" w:before="240"/>
      </w:pPr>
      <w:r>
        <w:rPr>
          <w:rFonts w:ascii="Arial" w:cs="Arial" w:eastAsia="Arial" w:hAnsi="Arial"/>
          <w:b/>
          <w:bCs/>
          <w:color w:val="2E7D32"/>
          <w:sz w:val="24"/>
          <w:szCs w:val="24"/>
        </w:rPr>
        <w:t xml:space="preserve">3.1 Segmentación del Mercado Meta</w:t>
      </w:r>
    </w:p>
    <w:p>
      <w:pPr>
        <w:spacing w:after="80" w:before="80"/>
        <w:jc w:val="both"/>
      </w:pPr>
      <w:r>
        <w:rPr>
          <w:rFonts w:ascii="Arial" w:cs="Arial" w:eastAsia="Arial" w:hAnsi="Arial"/>
          <w:b w:val="false"/>
          <w:bCs w:val="false"/>
          <w:i w:val="false"/>
          <w:iCs w:val="false"/>
          <w:sz w:val="22"/>
          <w:szCs w:val="22"/>
        </w:rPr>
        <w:t xml:space="preserve">El mercado meta primario de NutriCiclo SCZ son los ganaderos medianos (S2) del Norte Integrado y la Chiquitanía de Santa Cruz, con hatos de 50 a 200 cabezas de ganado bovino de carne y doble propósito. Este segmento fue validado mediante encuesta como el de mayor disposición de pago y menor cobertura de suplementación actual.</w:t>
      </w:r>
    </w:p>
    <w:p>
      <w:pPr>
        <w:pStyle w:val="Heading2"/>
        <w:spacing w:after="100" w:before="240"/>
      </w:pPr>
      <w:r>
        <w:rPr>
          <w:rFonts w:ascii="Arial" w:cs="Arial" w:eastAsia="Arial" w:hAnsi="Arial"/>
          <w:b/>
          <w:bCs/>
          <w:color w:val="2E7D32"/>
          <w:sz w:val="24"/>
          <w:szCs w:val="24"/>
        </w:rPr>
        <w:t xml:space="preserve">3.2 Estrategia del Marketing Mix</w:t>
      </w:r>
    </w:p>
    <w:p>
      <w:pPr>
        <w:pStyle w:val="Heading3"/>
        <w:spacing w:after="80" w:before="180"/>
      </w:pPr>
      <w:r>
        <w:rPr>
          <w:rFonts w:ascii="Arial" w:cs="Arial" w:eastAsia="Arial" w:hAnsi="Arial"/>
          <w:b/>
          <w:bCs/>
          <w:color w:val="388E3C"/>
          <w:sz w:val="22"/>
          <w:szCs w:val="22"/>
        </w:rPr>
        <w:t xml:space="preserve">Producto</w:t>
      </w:r>
    </w:p>
    <w:p>
      <w:pPr>
        <w:spacing w:after="80" w:before="80"/>
        <w:jc w:val="both"/>
      </w:pPr>
      <w:r>
        <w:rPr>
          <w:rFonts w:ascii="Arial" w:cs="Arial" w:eastAsia="Arial" w:hAnsi="Arial"/>
          <w:b w:val="false"/>
          <w:bCs w:val="false"/>
          <w:i w:val="false"/>
          <w:iCs w:val="false"/>
          <w:sz w:val="22"/>
          <w:szCs w:val="22"/>
        </w:rPr>
        <w:t xml:space="preserve">El Bloque Multinutricional NutriCiclo (BMN) es un suplemento sólido de 25 kg con tres niveles:</w:t>
      </w:r>
    </w:p>
    <w:p>
      <w:pPr>
        <w:pStyle w:val="ListParagraph"/>
        <w:numPr>
          <w:ilvl w:val="0"/>
          <w:numId w:val="2"/>
        </w:numPr>
        <w:spacing w:after="60" w:before="60"/>
      </w:pPr>
      <w:r>
        <w:rPr>
          <w:rFonts w:ascii="Arial" w:cs="Arial" w:eastAsia="Arial" w:hAnsi="Arial"/>
          <w:b w:val="false"/>
          <w:bCs w:val="false"/>
          <w:sz w:val="22"/>
          <w:szCs w:val="22"/>
        </w:rPr>
        <w:t xml:space="preserve">Producto básico: mantener el rendimiento del ganado y evitar pérdidas durante la sequía.</w:t>
      </w:r>
    </w:p>
    <w:p>
      <w:pPr>
        <w:pStyle w:val="ListParagraph"/>
        <w:numPr>
          <w:ilvl w:val="0"/>
          <w:numId w:val="2"/>
        </w:numPr>
        <w:spacing w:after="60" w:before="60"/>
      </w:pPr>
      <w:r>
        <w:rPr>
          <w:rFonts w:ascii="Arial" w:cs="Arial" w:eastAsia="Arial" w:hAnsi="Arial"/>
          <w:b w:val="false"/>
          <w:bCs w:val="false"/>
          <w:sz w:val="22"/>
          <w:szCs w:val="22"/>
        </w:rPr>
        <w:t xml:space="preserve">Producto real: bloque sólido de 25 kg con formulación científica (melaza, urea, minerales, proteína BSF), consumo autorregulado por lamido.</w:t>
      </w:r>
    </w:p>
    <w:p>
      <w:pPr>
        <w:pStyle w:val="ListParagraph"/>
        <w:numPr>
          <w:ilvl w:val="0"/>
          <w:numId w:val="2"/>
        </w:numPr>
        <w:spacing w:after="60" w:before="60"/>
      </w:pPr>
      <w:r>
        <w:rPr>
          <w:rFonts w:ascii="Arial" w:cs="Arial" w:eastAsia="Arial" w:hAnsi="Arial"/>
          <w:b w:val="false"/>
          <w:bCs w:val="false"/>
          <w:sz w:val="22"/>
          <w:szCs w:val="22"/>
        </w:rPr>
        <w:t xml:space="preserve">Producto aumentado: asesoría técnica vía WhatsApp, acompañamiento post-venta en los primeros 15 días, capacitación gratuita sobre manejo nutricional.</w:t>
      </w:r>
    </w:p>
    <w:p>
      <w:r>
        <w:t xml:space="preserve"/>
      </w:r>
    </w:p>
    <w:p>
      <w:pPr>
        <w:spacing w:after="80" w:before="80"/>
        <w:jc w:val="both"/>
      </w:pPr>
      <w:r>
        <w:rPr>
          <w:rFonts w:ascii="Arial" w:cs="Arial" w:eastAsia="Arial" w:hAnsi="Arial"/>
          <w:b w:val="false"/>
          <w:bCs w:val="false"/>
          <w:i w:val="false"/>
          <w:iCs w:val="false"/>
          <w:sz w:val="22"/>
          <w:szCs w:val="22"/>
        </w:rPr>
        <w:t xml:space="preserve">El elemento diferenciador es la harina de proteína BSF (42–50% de contenido proteico), que no existe en ningún bloque multinutricional de producción local en Santa Cruz.</w:t>
      </w:r>
    </w:p>
    <w:p>
      <w:pPr>
        <w:pStyle w:val="Heading3"/>
        <w:spacing w:after="80" w:before="180"/>
      </w:pPr>
      <w:r>
        <w:rPr>
          <w:rFonts w:ascii="Arial" w:cs="Arial" w:eastAsia="Arial" w:hAnsi="Arial"/>
          <w:b/>
          <w:bCs/>
          <w:color w:val="388E3C"/>
          <w:sz w:val="22"/>
          <w:szCs w:val="22"/>
        </w:rPr>
        <w:t xml:space="preserve">Plaza</w:t>
      </w:r>
    </w:p>
    <w:p>
      <w:pPr>
        <w:spacing w:after="80" w:before="80"/>
        <w:jc w:val="both"/>
      </w:pPr>
      <w:r>
        <w:rPr>
          <w:rFonts w:ascii="Arial" w:cs="Arial" w:eastAsia="Arial" w:hAnsi="Arial"/>
          <w:b w:val="false"/>
          <w:bCs w:val="false"/>
          <w:i w:val="false"/>
          <w:iCs w:val="false"/>
          <w:sz w:val="22"/>
          <w:szCs w:val="22"/>
        </w:rPr>
        <w:t xml:space="preserve">La distribución opera bajo un modelo mixto:</w:t>
      </w:r>
    </w:p>
    <w:p>
      <w:pPr>
        <w:pStyle w:val="ListParagraph"/>
        <w:numPr>
          <w:ilvl w:val="0"/>
          <w:numId w:val="2"/>
        </w:numPr>
        <w:spacing w:after="60" w:before="60"/>
      </w:pPr>
      <w:r>
        <w:rPr>
          <w:rFonts w:ascii="Arial" w:cs="Arial" w:eastAsia="Arial" w:hAnsi="Arial"/>
          <w:b w:val="false"/>
          <w:bCs w:val="false"/>
          <w:sz w:val="22"/>
          <w:szCs w:val="22"/>
        </w:rPr>
        <w:t xml:space="preserve">Alianza estratégica con FEGASACRUZ: punto de validación y confianza institucional para el ganadero cruceño.</w:t>
      </w:r>
    </w:p>
    <w:p>
      <w:pPr>
        <w:pStyle w:val="ListParagraph"/>
        <w:numPr>
          <w:ilvl w:val="0"/>
          <w:numId w:val="2"/>
        </w:numPr>
        <w:spacing w:after="60" w:before="60"/>
      </w:pPr>
      <w:r>
        <w:rPr>
          <w:rFonts w:ascii="Arial" w:cs="Arial" w:eastAsia="Arial" w:hAnsi="Arial"/>
          <w:b w:val="false"/>
          <w:bCs w:val="false"/>
          <w:sz w:val="22"/>
          <w:szCs w:val="22"/>
        </w:rPr>
        <w:t xml:space="preserve">Venta directa en fábrica (Ex-Fábrica): para productores que retiran con su propio transporte, con precio de origen.</w:t>
      </w:r>
    </w:p>
    <w:p>
      <w:pPr>
        <w:pStyle w:val="ListParagraph"/>
        <w:numPr>
          <w:ilvl w:val="0"/>
          <w:numId w:val="2"/>
        </w:numPr>
        <w:spacing w:after="60" w:before="60"/>
      </w:pPr>
      <w:r>
        <w:rPr>
          <w:rFonts w:ascii="Arial" w:cs="Arial" w:eastAsia="Arial" w:hAnsi="Arial"/>
          <w:b w:val="false"/>
          <w:bCs w:val="false"/>
          <w:sz w:val="22"/>
          <w:szCs w:val="22"/>
        </w:rPr>
        <w:t xml:space="preserve">Rutas de entrega programadas por zonas: Norte, Chiquitanía y Sur, agrupando pedidos para reducir el costo de flete.</w:t>
      </w:r>
    </w:p>
    <w:p>
      <w:pPr>
        <w:pStyle w:val="ListParagraph"/>
        <w:numPr>
          <w:ilvl w:val="0"/>
          <w:numId w:val="2"/>
        </w:numPr>
        <w:spacing w:after="60" w:before="60"/>
      </w:pPr>
      <w:r>
        <w:rPr>
          <w:rFonts w:ascii="Arial" w:cs="Arial" w:eastAsia="Arial" w:hAnsi="Arial"/>
          <w:b w:val="false"/>
          <w:bCs w:val="false"/>
          <w:sz w:val="22"/>
          <w:szCs w:val="22"/>
        </w:rPr>
        <w:t xml:space="preserve">Estrategia digital omnicanal: WhatsApp Business para cotización, pago QR y coordinación de despacho; Página Web como biblioteca técnica del producto.</w:t>
      </w:r>
    </w:p>
    <w:p>
      <w:pPr>
        <w:pStyle w:val="Heading3"/>
        <w:spacing w:after="80" w:before="180"/>
      </w:pPr>
      <w:r>
        <w:rPr>
          <w:rFonts w:ascii="Arial" w:cs="Arial" w:eastAsia="Arial" w:hAnsi="Arial"/>
          <w:b/>
          <w:bCs/>
          <w:color w:val="388E3C"/>
          <w:sz w:val="22"/>
          <w:szCs w:val="22"/>
        </w:rPr>
        <w:t xml:space="preserve">Precio</w:t>
      </w:r>
    </w:p>
    <w:p>
      <w:pPr>
        <w:spacing w:after="80" w:before="80"/>
        <w:jc w:val="both"/>
      </w:pPr>
      <w:r>
        <w:rPr>
          <w:rFonts w:ascii="Arial" w:cs="Arial" w:eastAsia="Arial" w:hAnsi="Arial"/>
          <w:b w:val="false"/>
          <w:bCs w:val="false"/>
          <w:i w:val="false"/>
          <w:iCs w:val="false"/>
          <w:sz w:val="22"/>
          <w:szCs w:val="22"/>
        </w:rPr>
        <w:t xml:space="preserve">Estrategia de precios basada en el valor percibido por el cliente (Philip Kotler), con segmentación por volumen: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Nivel</w:t>
            </w:r>
          </w:p>
        </w:tc>
        <w:tc>
          <w:tcPr>
            <w:tcW w:type="dxa" w:w="2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Precio (Bs)</w:t>
            </w:r>
          </w:p>
        </w:tc>
        <w:tc>
          <w:tcPr>
            <w:tcW w:type="dxa" w:w="48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Condición</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Minorista / Prueba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Bs 150</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Unidades sueltas, puntos institucionales</w:t>
            </w:r>
          </w:p>
        </w:tc>
      </w:tr>
      <w:tr>
        <w:tc>
          <w:tcPr>
            <w:tcW w:type="dxa" w:w="2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Asociaciones / Preventa</w:t>
            </w:r>
          </w:p>
        </w:tc>
        <w:tc>
          <w:tcPr>
            <w:tcW w:type="dxa" w:w="20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Bs 120–130</w:t>
            </w:r>
          </w:p>
        </w:tc>
        <w:tc>
          <w:tcPr>
            <w:tcW w:type="dxa" w:w="4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Compras por pallet (40 unidades)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Mayorista / Ex-Fábrica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Bs 100</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Retiro directo en planta, alto volumen</w:t>
            </w:r>
          </w:p>
        </w:tc>
      </w:tr>
    </w:tbl>
    <w:p>
      <w:r>
        <w:t xml:space="preserve"/>
      </w:r>
    </w:p>
    <w:p>
      <w:pPr>
        <w:pStyle w:val="Heading3"/>
        <w:spacing w:after="80" w:before="180"/>
      </w:pPr>
      <w:r>
        <w:rPr>
          <w:rFonts w:ascii="Arial" w:cs="Arial" w:eastAsia="Arial" w:hAnsi="Arial"/>
          <w:b/>
          <w:bCs/>
          <w:color w:val="388E3C"/>
          <w:sz w:val="22"/>
          <w:szCs w:val="22"/>
        </w:rPr>
        <w:t xml:space="preserve">Promoción</w:t>
      </w:r>
    </w:p>
    <w:p>
      <w:pPr>
        <w:spacing w:after="80" w:before="80"/>
        <w:jc w:val="both"/>
      </w:pPr>
      <w:r>
        <w:rPr>
          <w:rFonts w:ascii="Arial" w:cs="Arial" w:eastAsia="Arial" w:hAnsi="Arial"/>
          <w:b w:val="false"/>
          <w:bCs w:val="false"/>
          <w:i w:val="false"/>
          <w:iCs w:val="false"/>
          <w:sz w:val="22"/>
          <w:szCs w:val="22"/>
        </w:rPr>
        <w:t xml:space="preserve">Se aplica una Estrategia de Empuje (Push Strategy) TTL, adaptada al ganadero mediano de Santa Cruz:</w:t>
      </w:r>
    </w:p>
    <w:p>
      <w:pPr>
        <w:spacing w:after="80" w:before="80"/>
        <w:jc w:val="left"/>
      </w:pPr>
      <w:r>
        <w:rPr>
          <w:rFonts w:ascii="Arial" w:cs="Arial" w:eastAsia="Arial" w:hAnsi="Arial"/>
          <w:b/>
          <w:bCs/>
          <w:i w:val="false"/>
          <w:iCs w:val="false"/>
          <w:sz w:val="22"/>
          <w:szCs w:val="22"/>
        </w:rPr>
        <w:t xml:space="preserve">Tácticas BTL:</w:t>
      </w:r>
    </w:p>
    <w:p>
      <w:pPr>
        <w:pStyle w:val="ListParagraph"/>
        <w:numPr>
          <w:ilvl w:val="0"/>
          <w:numId w:val="2"/>
        </w:numPr>
        <w:spacing w:after="60" w:before="60"/>
      </w:pPr>
      <w:r>
        <w:rPr>
          <w:rFonts w:ascii="Arial" w:cs="Arial" w:eastAsia="Arial" w:hAnsi="Arial"/>
          <w:b w:val="false"/>
          <w:bCs w:val="false"/>
          <w:sz w:val="22"/>
          <w:szCs w:val="22"/>
        </w:rPr>
        <w:t xml:space="preserve">Participación en ferias ganaderas regionales: EXPOCRUZ, EXPONORTE (Montero), EXPOCHACO, FEXPO BENI, Fexpo-Chiquitanía y Feria Ganadera de San José de Chiquitos.</w:t>
      </w:r>
    </w:p>
    <w:p>
      <w:pPr>
        <w:pStyle w:val="ListParagraph"/>
        <w:numPr>
          <w:ilvl w:val="0"/>
          <w:numId w:val="2"/>
        </w:numPr>
        <w:spacing w:after="60" w:before="60"/>
      </w:pPr>
      <w:r>
        <w:rPr>
          <w:rFonts w:ascii="Arial" w:cs="Arial" w:eastAsia="Arial" w:hAnsi="Arial"/>
          <w:b w:val="false"/>
          <w:bCs w:val="false"/>
          <w:sz w:val="22"/>
          <w:szCs w:val="22"/>
        </w:rPr>
        <w:t xml:space="preserve">Demostración de producto en campo con resultados medibles en 30 días como estrategia de lanzamiento.</w:t>
      </w:r>
    </w:p>
    <w:p>
      <w:pPr>
        <w:spacing w:after="80" w:before="80"/>
        <w:jc w:val="left"/>
      </w:pPr>
      <w:r>
        <w:rPr>
          <w:rFonts w:ascii="Arial" w:cs="Arial" w:eastAsia="Arial" w:hAnsi="Arial"/>
          <w:b/>
          <w:bCs/>
          <w:i w:val="false"/>
          <w:iCs w:val="false"/>
          <w:sz w:val="22"/>
          <w:szCs w:val="22"/>
        </w:rPr>
        <w:t xml:space="preserve">Tácticas ATL:</w:t>
      </w:r>
    </w:p>
    <w:p>
      <w:pPr>
        <w:pStyle w:val="ListParagraph"/>
        <w:numPr>
          <w:ilvl w:val="0"/>
          <w:numId w:val="2"/>
        </w:numPr>
        <w:spacing w:after="60" w:before="60"/>
      </w:pPr>
      <w:r>
        <w:rPr>
          <w:rFonts w:ascii="Arial" w:cs="Arial" w:eastAsia="Arial" w:hAnsi="Arial"/>
          <w:b w:val="false"/>
          <w:bCs w:val="false"/>
          <w:sz w:val="22"/>
          <w:szCs w:val="22"/>
        </w:rPr>
        <w:t xml:space="preserve">Radio rural (horario 5:00–7:00 AM): cuñas de 30 segundos en Radio Chiquitanía, Radio Ichilo y programas agropecuarios locales.</w:t>
      </w:r>
    </w:p>
    <w:p>
      <w:pPr>
        <w:pStyle w:val="ListParagraph"/>
        <w:numPr>
          <w:ilvl w:val="0"/>
          <w:numId w:val="2"/>
        </w:numPr>
        <w:spacing w:after="60" w:before="60"/>
      </w:pPr>
      <w:r>
        <w:rPr>
          <w:rFonts w:ascii="Arial" w:cs="Arial" w:eastAsia="Arial" w:hAnsi="Arial"/>
          <w:b w:val="false"/>
          <w:bCs w:val="false"/>
          <w:sz w:val="22"/>
          <w:szCs w:val="22"/>
        </w:rPr>
        <w:t xml:space="preserve">Prensa especializada: media página en suplemento agro de El Deber y revista Publiagro.</w:t>
      </w:r>
    </w:p>
    <w:p>
      <w:pPr>
        <w:spacing w:after="80" w:before="80"/>
        <w:jc w:val="left"/>
      </w:pPr>
      <w:r>
        <w:rPr>
          <w:rFonts w:ascii="Arial" w:cs="Arial" w:eastAsia="Arial" w:hAnsi="Arial"/>
          <w:b/>
          <w:bCs/>
          <w:i w:val="false"/>
          <w:iCs w:val="false"/>
          <w:sz w:val="22"/>
          <w:szCs w:val="22"/>
        </w:rPr>
        <w:t xml:space="preserve">Medios digitales de bajo costo:</w:t>
      </w:r>
    </w:p>
    <w:p>
      <w:pPr>
        <w:pStyle w:val="ListParagraph"/>
        <w:numPr>
          <w:ilvl w:val="0"/>
          <w:numId w:val="2"/>
        </w:numPr>
        <w:spacing w:after="60" w:before="60"/>
      </w:pPr>
      <w:r>
        <w:rPr>
          <w:rFonts w:ascii="Arial" w:cs="Arial" w:eastAsia="Arial" w:hAnsi="Arial"/>
          <w:b w:val="false"/>
          <w:bCs w:val="false"/>
          <w:sz w:val="22"/>
          <w:szCs w:val="22"/>
        </w:rPr>
        <w:t xml:space="preserve">WhatsApp Business como canal de venta, soporte y distribución de videos testimoniales "desde el potrero".</w:t>
      </w:r>
    </w:p>
    <w:p>
      <w:pPr>
        <w:pStyle w:val="ListParagraph"/>
        <w:numPr>
          <w:ilvl w:val="0"/>
          <w:numId w:val="2"/>
        </w:numPr>
        <w:spacing w:after="60" w:before="60"/>
      </w:pPr>
      <w:r>
        <w:rPr>
          <w:rFonts w:ascii="Arial" w:cs="Arial" w:eastAsia="Arial" w:hAnsi="Arial"/>
          <w:b w:val="false"/>
          <w:bCs w:val="false"/>
          <w:sz w:val="22"/>
          <w:szCs w:val="22"/>
        </w:rPr>
        <w:t xml:space="preserve">Facebook segmentado (Bs 350–700/mes) en municipios clave durante junio–agosto (pico de sequía).</w:t>
      </w:r>
    </w:p>
    <w:p>
      <w:pPr>
        <w:pStyle w:val="Heading2"/>
        <w:spacing w:after="100" w:before="240"/>
      </w:pPr>
      <w:r>
        <w:rPr>
          <w:rFonts w:ascii="Arial" w:cs="Arial" w:eastAsia="Arial" w:hAnsi="Arial"/>
          <w:b/>
          <w:bCs/>
          <w:color w:val="2E7D32"/>
          <w:sz w:val="24"/>
          <w:szCs w:val="24"/>
        </w:rPr>
        <w:t xml:space="preserve">3.3 Proceso de Compra y Venta</w:t>
      </w:r>
    </w:p>
    <w:p>
      <w:pPr>
        <w:pStyle w:val="ListParagraph"/>
        <w:numPr>
          <w:ilvl w:val="0"/>
          <w:numId w:val="3"/>
        </w:numPr>
        <w:spacing w:after="60" w:before="60"/>
      </w:pPr>
      <w:r>
        <w:rPr>
          <w:rFonts w:ascii="Arial" w:cs="Arial" w:eastAsia="Arial" w:hAnsi="Arial"/>
          <w:b w:val="false"/>
          <w:bCs w:val="false"/>
          <w:sz w:val="22"/>
          <w:szCs w:val="22"/>
        </w:rPr>
        <w:t xml:space="preserve">Captación y asesoría (preventa): contacto por WhatsApp o en FEGASACRUZ, diagnóstico rápido del hato y recomendación de carga.</w:t>
      </w:r>
    </w:p>
    <w:p>
      <w:pPr>
        <w:pStyle w:val="ListParagraph"/>
        <w:numPr>
          <w:ilvl w:val="0"/>
          <w:numId w:val="3"/>
        </w:numPr>
        <w:spacing w:after="60" w:before="60"/>
      </w:pPr>
      <w:r>
        <w:rPr>
          <w:rFonts w:ascii="Arial" w:cs="Arial" w:eastAsia="Arial" w:hAnsi="Arial"/>
          <w:b w:val="false"/>
          <w:bCs w:val="false"/>
          <w:sz w:val="22"/>
          <w:szCs w:val="22"/>
        </w:rPr>
        <w:t xml:space="preserve">Gestión del pedido y pago: cotización digital instantánea, pago por transferencia, QR o efectivo en planta.</w:t>
      </w:r>
    </w:p>
    <w:p>
      <w:pPr>
        <w:pStyle w:val="ListParagraph"/>
        <w:numPr>
          <w:ilvl w:val="0"/>
          <w:numId w:val="3"/>
        </w:numPr>
        <w:spacing w:after="60" w:before="60"/>
      </w:pPr>
      <w:r>
        <w:rPr>
          <w:rFonts w:ascii="Arial" w:cs="Arial" w:eastAsia="Arial" w:hAnsi="Arial"/>
          <w:b w:val="false"/>
          <w:bCs w:val="false"/>
          <w:sz w:val="22"/>
          <w:szCs w:val="22"/>
        </w:rPr>
        <w:t xml:space="preserve">Facturación y logística de entrega: retiro directo en fábrica o entrega programada por rutas semanales.</w:t>
      </w:r>
    </w:p>
    <w:p>
      <w:pPr>
        <w:pStyle w:val="ListParagraph"/>
        <w:numPr>
          <w:ilvl w:val="0"/>
          <w:numId w:val="3"/>
        </w:numPr>
        <w:spacing w:after="60" w:before="60"/>
      </w:pPr>
      <w:r>
        <w:rPr>
          <w:rFonts w:ascii="Arial" w:cs="Arial" w:eastAsia="Arial" w:hAnsi="Arial"/>
          <w:b w:val="false"/>
          <w:bCs w:val="false"/>
          <w:sz w:val="22"/>
          <w:szCs w:val="22"/>
        </w:rPr>
        <w:t xml:space="preserve">Seguimiento post-venta: contacto a los 15 días para verificar aceptación del bloque y fidelizar al cliente.</w:t>
      </w:r>
    </w:p>
    <w:p>
      <w:pPr>
        <w:pStyle w:val="Heading2"/>
        <w:spacing w:after="100" w:before="240"/>
      </w:pPr>
      <w:r>
        <w:rPr>
          <w:rFonts w:ascii="Arial" w:cs="Arial" w:eastAsia="Arial" w:hAnsi="Arial"/>
          <w:b/>
          <w:bCs/>
          <w:color w:val="2E7D32"/>
          <w:sz w:val="24"/>
          <w:szCs w:val="24"/>
        </w:rPr>
        <w:t xml:space="preserve">3.4 Imagen Corporativa</w:t>
      </w:r>
    </w:p>
    <w:p>
      <w:pPr>
        <w:spacing w:after="80" w:before="80"/>
        <w:jc w:val="both"/>
      </w:pPr>
      <w:r>
        <w:rPr>
          <w:rFonts w:ascii="Arial" w:cs="Arial" w:eastAsia="Arial" w:hAnsi="Arial"/>
          <w:b w:val="false"/>
          <w:bCs w:val="false"/>
          <w:i w:val="false"/>
          <w:iCs w:val="false"/>
          <w:sz w:val="22"/>
          <w:szCs w:val="22"/>
        </w:rPr>
        <w:t xml:space="preserve">El logotipo de NutriCiclo integra cuatro elementos simbólicos: la cabeza de vaca (sector ganadero), el bloque multinutricional (producto diferenciado), la flecha de reciclaje circular verde (economía circular) y las hojas (biotecnología natural).</w:t>
      </w:r>
    </w:p>
    <w:p>
      <w:pPr>
        <w:spacing w:after="80" w:before="80"/>
        <w:jc w:val="both"/>
      </w:pPr>
      <w:r>
        <w:rPr>
          <w:rFonts w:ascii="Arial" w:cs="Arial" w:eastAsia="Arial" w:hAnsi="Arial"/>
          <w:b w:val="false"/>
          <w:bCs w:val="false"/>
          <w:i w:val="false"/>
          <w:iCs w:val="false"/>
          <w:sz w:val="22"/>
          <w:szCs w:val="22"/>
        </w:rPr>
        <w:t xml:space="preserve">Paleta de colores: Verde Oliva/Verde Campo (sostenibilidad), Marrón Tierra/Cuero (solidez y conexión con el campo), Crema/Hueso (pureza y biotecnología). Tipografía sans-serif moderna con la dualidad visual Verde «Nutri» + Marrón «Ciclo».</w:t>
      </w:r>
    </w:p>
    <w:p>
      <w:pPr>
        <w:pBdr>
          <w:bottom w:val="single" w:color="4CAF50" w:sz="4" w:space="1"/>
        </w:pBdr>
        <w:spacing w:after="120" w:before="120"/>
      </w:pPr>
    </w:p>
    <w:p>
      <w:pPr>
        <w:pStyle w:val="Heading1"/>
        <w:spacing w:after="120" w:before="300"/>
      </w:pPr>
      <w:r>
        <w:rPr>
          <w:rFonts w:ascii="Arial" w:cs="Arial" w:eastAsia="Arial" w:hAnsi="Arial"/>
          <w:b/>
          <w:bCs/>
          <w:color w:val="1B5E20"/>
          <w:sz w:val="28"/>
          <w:szCs w:val="28"/>
        </w:rPr>
        <w:t xml:space="preserve">CAPÍTULO 4: PLAN DE ORGANIZACIÓN</w:t>
      </w:r>
    </w:p>
    <w:p>
      <w:pPr>
        <w:spacing w:after="80" w:before="80"/>
        <w:jc w:val="center"/>
      </w:pPr>
      <w:r>
        <w:rPr>
          <w:rFonts w:ascii="Arial" w:cs="Arial" w:eastAsia="Arial" w:hAnsi="Arial"/>
          <w:b/>
          <w:bCs/>
          <w:i w:val="false"/>
          <w:iCs w:val="false"/>
          <w:sz w:val="22"/>
          <w:szCs w:val="22"/>
        </w:rPr>
        <w:t xml:space="preserve">MODELO CANVAS – ESTRUCTURA ORGANIZACIONAL</w:t>
      </w:r>
    </w:p>
    <w:p>
      <w:r>
        <w:t xml:space="preserve"/>
      </w:r>
    </w:p>
    <w:p>
      <w:pPr>
        <w:pStyle w:val="Heading2"/>
        <w:spacing w:after="100" w:before="240"/>
      </w:pPr>
      <w:r>
        <w:rPr>
          <w:rFonts w:ascii="Arial" w:cs="Arial" w:eastAsia="Arial" w:hAnsi="Arial"/>
          <w:b/>
          <w:bCs/>
          <w:color w:val="2E7D32"/>
          <w:sz w:val="24"/>
          <w:szCs w:val="24"/>
        </w:rPr>
        <w:t xml:space="preserve">4.1 Misión y Visión</w:t>
      </w:r>
    </w:p>
    <w:p>
      <w:pPr>
        <w:spacing w:after="80" w:before="80"/>
        <w:jc w:val="both"/>
      </w:pPr>
      <w:r>
        <w:rPr>
          <w:rFonts w:ascii="Arial" w:cs="Arial" w:eastAsia="Arial" w:hAnsi="Arial"/>
          <w:b/>
          <w:bCs/>
          <w:sz w:val="22"/>
          <w:szCs w:val="22"/>
        </w:rPr>
        <w:t xml:space="preserve">Misión: </w:t>
      </w:r>
      <w:r>
        <w:rPr>
          <w:rFonts w:ascii="Arial" w:cs="Arial" w:eastAsia="Arial" w:hAnsi="Arial"/>
          <w:sz w:val="22"/>
          <w:szCs w:val="22"/>
        </w:rPr>
        <w:t xml:space="preserve">Transformar residuos orgánicos de la agroindustria cruceña en bloques multinutricionales de alto valor proteico, mediante tecnología de economía circular basada en la cría de larvas BSF, para mejorar la productividad del ganado bovino durante la época de sequía y contribuir al desarrollo sostenible del sector ganadero de Santa Cruz de la Sierra.</w:t>
      </w:r>
    </w:p>
    <w:p>
      <w:r>
        <w:t xml:space="preserve"/>
      </w:r>
    </w:p>
    <w:p>
      <w:pPr>
        <w:spacing w:after="80" w:before="80"/>
        <w:jc w:val="both"/>
      </w:pPr>
      <w:r>
        <w:rPr>
          <w:rFonts w:ascii="Arial" w:cs="Arial" w:eastAsia="Arial" w:hAnsi="Arial"/>
          <w:b/>
          <w:bCs/>
          <w:sz w:val="22"/>
          <w:szCs w:val="22"/>
        </w:rPr>
        <w:t xml:space="preserve">Visión: </w:t>
      </w:r>
      <w:r>
        <w:rPr>
          <w:rFonts w:ascii="Arial" w:cs="Arial" w:eastAsia="Arial" w:hAnsi="Arial"/>
          <w:sz w:val="22"/>
          <w:szCs w:val="22"/>
        </w:rPr>
        <w:t xml:space="preserve">Ser la empresa líder en Bolivia en la producción de suplementos ganaderos sustentados en biotecnología circular, reconocida por el impacto positivo en la productividad del sector pecuario y por la valorización responsable de residuos agroindustriales para 2030.</w:t>
      </w:r>
    </w:p>
    <w:p>
      <w:pPr>
        <w:pStyle w:val="Heading2"/>
        <w:spacing w:after="100" w:before="240"/>
      </w:pPr>
      <w:r>
        <w:rPr>
          <w:rFonts w:ascii="Arial" w:cs="Arial" w:eastAsia="Arial" w:hAnsi="Arial"/>
          <w:b/>
          <w:bCs/>
          <w:color w:val="2E7D32"/>
          <w:sz w:val="24"/>
          <w:szCs w:val="24"/>
        </w:rPr>
        <w:t xml:space="preserve">4.2 Políticas de la Empresa</w:t>
      </w:r>
    </w:p>
    <w:p>
      <w:pPr>
        <w:pStyle w:val="ListParagraph"/>
        <w:numPr>
          <w:ilvl w:val="0"/>
          <w:numId w:val="2"/>
        </w:numPr>
        <w:spacing w:after="60" w:before="60"/>
      </w:pPr>
      <w:r>
        <w:rPr>
          <w:rFonts w:ascii="Arial" w:cs="Arial" w:eastAsia="Arial" w:hAnsi="Arial"/>
          <w:b w:val="false"/>
          <w:bCs w:val="false"/>
          <w:sz w:val="22"/>
          <w:szCs w:val="22"/>
        </w:rPr>
        <w:t xml:space="preserve">Política de calidad: todos los BMN producidos deben cumplir los estándares nutricionales establecidos en la formulación técnica validada.</w:t>
      </w:r>
    </w:p>
    <w:p>
      <w:pPr>
        <w:pStyle w:val="ListParagraph"/>
        <w:numPr>
          <w:ilvl w:val="0"/>
          <w:numId w:val="2"/>
        </w:numPr>
        <w:spacing w:after="60" w:before="60"/>
      </w:pPr>
      <w:r>
        <w:rPr>
          <w:rFonts w:ascii="Arial" w:cs="Arial" w:eastAsia="Arial" w:hAnsi="Arial"/>
          <w:b w:val="false"/>
          <w:bCs w:val="false"/>
          <w:sz w:val="22"/>
          <w:szCs w:val="22"/>
        </w:rPr>
        <w:t xml:space="preserve">Política ambiental: gestión responsable de todos los residuos generados en el proceso productivo, con preferencia por la valorización sobre la eliminación.</w:t>
      </w:r>
    </w:p>
    <w:p>
      <w:pPr>
        <w:pStyle w:val="ListParagraph"/>
        <w:numPr>
          <w:ilvl w:val="0"/>
          <w:numId w:val="2"/>
        </w:numPr>
        <w:spacing w:after="60" w:before="60"/>
      </w:pPr>
      <w:r>
        <w:rPr>
          <w:rFonts w:ascii="Arial" w:cs="Arial" w:eastAsia="Arial" w:hAnsi="Arial"/>
          <w:b w:val="false"/>
          <w:bCs w:val="false"/>
          <w:sz w:val="22"/>
          <w:szCs w:val="22"/>
        </w:rPr>
        <w:t xml:space="preserve">Política de bioseguridad: protocolos estrictos de higiene y seguridad en el área de cría BSF y en la planta de producción.</w:t>
      </w:r>
    </w:p>
    <w:p>
      <w:pPr>
        <w:pStyle w:val="ListParagraph"/>
        <w:numPr>
          <w:ilvl w:val="0"/>
          <w:numId w:val="2"/>
        </w:numPr>
        <w:spacing w:after="60" w:before="60"/>
      </w:pPr>
      <w:r>
        <w:rPr>
          <w:rFonts w:ascii="Arial" w:cs="Arial" w:eastAsia="Arial" w:hAnsi="Arial"/>
          <w:b w:val="false"/>
          <w:bCs w:val="false"/>
          <w:sz w:val="22"/>
          <w:szCs w:val="22"/>
        </w:rPr>
        <w:t xml:space="preserve">Política de responsabilidad social: formación técnica gratuita a ganaderos como parte del servicio post-venta.</w:t>
      </w:r>
    </w:p>
    <w:p>
      <w:pPr>
        <w:pStyle w:val="ListParagraph"/>
        <w:numPr>
          <w:ilvl w:val="0"/>
          <w:numId w:val="2"/>
        </w:numPr>
        <w:spacing w:after="60" w:before="60"/>
      </w:pPr>
      <w:r>
        <w:rPr>
          <w:rFonts w:ascii="Arial" w:cs="Arial" w:eastAsia="Arial" w:hAnsi="Arial"/>
          <w:b w:val="false"/>
          <w:bCs w:val="false"/>
          <w:sz w:val="22"/>
          <w:szCs w:val="22"/>
        </w:rPr>
        <w:t xml:space="preserve">Política de sostenibilidad financiera: mantener un punto de equilibrio inferior al 30% de la capacidad instalada durante los primeros dos años.</w:t>
      </w:r>
    </w:p>
    <w:p>
      <w:pPr>
        <w:pStyle w:val="Heading2"/>
        <w:spacing w:after="100" w:before="240"/>
      </w:pPr>
      <w:r>
        <w:rPr>
          <w:rFonts w:ascii="Arial" w:cs="Arial" w:eastAsia="Arial" w:hAnsi="Arial"/>
          <w:b/>
          <w:bCs/>
          <w:color w:val="2E7D32"/>
          <w:sz w:val="24"/>
          <w:szCs w:val="24"/>
        </w:rPr>
        <w:t xml:space="preserve">4.3 Organigrama</w:t>
      </w:r>
    </w:p>
    <w:p>
      <w:pPr>
        <w:spacing w:after="80" w:before="80"/>
        <w:jc w:val="both"/>
      </w:pPr>
      <w:r>
        <w:rPr>
          <w:rFonts w:ascii="Arial" w:cs="Arial" w:eastAsia="Arial" w:hAnsi="Arial"/>
          <w:b w:val="false"/>
          <w:bCs w:val="false"/>
          <w:i w:val="false"/>
          <w:iCs w:val="false"/>
          <w:sz w:val="22"/>
          <w:szCs w:val="22"/>
        </w:rPr>
        <w:t xml:space="preserve">NutriCiclo SCZ se estructura en cuatro niveles jerárquicos: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Nivel</w:t>
            </w:r>
          </w:p>
        </w:tc>
        <w:tc>
          <w:tcPr>
            <w:tcW w:type="dxa" w:w="63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Áreas / Cargos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Nivel 1 – Dirección General</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Gerencia General (Leonardo Peña Añez)</w:t>
            </w:r>
          </w:p>
        </w:tc>
      </w:tr>
      <w:tr>
        <w:tc>
          <w:tcPr>
            <w:tcW w:type="dxa" w:w="30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Nivel 2 – Asesorías</w:t>
            </w:r>
          </w:p>
        </w:tc>
        <w:tc>
          <w:tcPr>
            <w:tcW w:type="dxa" w:w="6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Asesoría Legal (normativa ambiental) | Control de Calidad (SENASAG)</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Nivel 3 – Gerencias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Gerencia de Producción | Gerencia Administrativa | Gerencia Comercial</w:t>
            </w:r>
          </w:p>
        </w:tc>
      </w:tr>
      <w:tr>
        <w:tc>
          <w:tcPr>
            <w:tcW w:type="dxa" w:w="30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Nivel 4 – Operativo</w:t>
            </w:r>
          </w:p>
        </w:tc>
        <w:tc>
          <w:tcPr>
            <w:tcW w:type="dxa" w:w="6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Fases 1-3, Biofábrica BSF, Jefe de Planta, Logística, Contabilidad, RRHH, Ventas, Marketing, Distribución, Atención al Cliente</w:t>
            </w:r>
          </w:p>
        </w:tc>
      </w:tr>
    </w:tbl>
    <w:p>
      <w:r>
        <w:t xml:space="preserve"/>
      </w:r>
    </w:p>
    <w:p>
      <w:pPr>
        <w:pStyle w:val="Heading2"/>
        <w:spacing w:after="100" w:before="240"/>
      </w:pPr>
      <w:r>
        <w:rPr>
          <w:rFonts w:ascii="Arial" w:cs="Arial" w:eastAsia="Arial" w:hAnsi="Arial"/>
          <w:b/>
          <w:bCs/>
          <w:color w:val="2E7D32"/>
          <w:sz w:val="24"/>
          <w:szCs w:val="24"/>
        </w:rPr>
        <w:t xml:space="preserve">4.4 Manual de Funciones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Cargo</w:t>
            </w:r>
          </w:p>
        </w:tc>
        <w:tc>
          <w:tcPr>
            <w:tcW w:type="dxa" w:w="350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Función principal</w:t>
            </w:r>
          </w:p>
        </w:tc>
        <w:tc>
          <w:tcPr>
            <w:tcW w:type="dxa" w:w="336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Requisito</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Gerente General</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Dirección estratégica y toma de decisiones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Lic. Administración o Ingeniería Comercial</w:t>
            </w:r>
          </w:p>
        </w:tc>
      </w:tr>
      <w:tr>
        <w:tc>
          <w:tcPr>
            <w:tcW w:type="dxa" w:w="25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Jefe de Planta</w:t>
            </w:r>
          </w:p>
        </w:tc>
        <w:tc>
          <w:tcPr>
            <w:tcW w:type="dxa" w:w="35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Supervisión operativa de las 3 fases de producción</w:t>
            </w:r>
          </w:p>
        </w:tc>
        <w:tc>
          <w:tcPr>
            <w:tcW w:type="dxa" w:w="336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Ing. Agroindustrial o afín, 2 años exp.</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Técnico Biofábrica BSF</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Cría, monitoreo y cosecha de larvas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Técnico en biología o agropecuaria</w:t>
            </w:r>
          </w:p>
        </w:tc>
      </w:tr>
      <w:tr>
        <w:tc>
          <w:tcPr>
            <w:tcW w:type="dxa" w:w="25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Responsable de Calidad</w:t>
            </w:r>
          </w:p>
        </w:tc>
        <w:tc>
          <w:tcPr>
            <w:tcW w:type="dxa" w:w="35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Control de proceso y producto terminado (SENASAG)</w:t>
            </w:r>
          </w:p>
        </w:tc>
        <w:tc>
          <w:tcPr>
            <w:tcW w:type="dxa" w:w="336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Lic. Química o Bioquímica</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Jefe Comercial</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Ventas, marketing y relaciones institucionales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Lic. Comercial o Mercadotecnia</w:t>
            </w:r>
          </w:p>
        </w:tc>
      </w:tr>
      <w:tr>
        <w:tc>
          <w:tcPr>
            <w:tcW w:type="dxa" w:w="25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Contador General</w:t>
            </w:r>
          </w:p>
        </w:tc>
        <w:tc>
          <w:tcPr>
            <w:tcW w:type="dxa" w:w="35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Finanzas, costos y obligaciones tributarias</w:t>
            </w:r>
          </w:p>
        </w:tc>
        <w:tc>
          <w:tcPr>
            <w:tcW w:type="dxa" w:w="336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Lic. Contaduría Pública</w:t>
            </w:r>
          </w:p>
        </w:tc>
      </w:tr>
    </w:tbl>
    <w:p>
      <w:r>
        <w:t xml:space="preserve"/>
      </w:r>
    </w:p>
    <w:p>
      <w:pPr>
        <w:pStyle w:val="Heading2"/>
        <w:spacing w:after="100" w:before="240"/>
      </w:pPr>
      <w:r>
        <w:rPr>
          <w:rFonts w:ascii="Arial" w:cs="Arial" w:eastAsia="Arial" w:hAnsi="Arial"/>
          <w:b/>
          <w:bCs/>
          <w:color w:val="2E7D32"/>
          <w:sz w:val="24"/>
          <w:szCs w:val="24"/>
        </w:rPr>
        <w:t xml:space="preserve">4.5 Aspectos Legales y Regulatorios</w:t>
      </w:r>
    </w:p>
    <w:p>
      <w:pPr>
        <w:spacing w:after="80" w:before="80"/>
        <w:jc w:val="both"/>
      </w:pPr>
      <w:r>
        <w:rPr>
          <w:rFonts w:ascii="Arial" w:cs="Arial" w:eastAsia="Arial" w:hAnsi="Arial"/>
          <w:b w:val="false"/>
          <w:bCs w:val="false"/>
          <w:i w:val="false"/>
          <w:iCs w:val="false"/>
          <w:sz w:val="22"/>
          <w:szCs w:val="22"/>
        </w:rPr>
        <w:t xml:space="preserve">NutriCiclo SCZ se constituirá como Sociedad de Responsabilidad Limitada (S.R.L.) conforme al Código de Comercio de Bolivia.</w:t>
      </w:r>
    </w:p>
    <w:p>
      <w:pPr>
        <w:pStyle w:val="ListParagraph"/>
        <w:numPr>
          <w:ilvl w:val="0"/>
          <w:numId w:val="2"/>
        </w:numPr>
        <w:spacing w:after="60" w:before="60"/>
      </w:pPr>
      <w:r>
        <w:rPr>
          <w:rFonts w:ascii="Arial" w:cs="Arial" w:eastAsia="Arial" w:hAnsi="Arial"/>
          <w:b w:val="false"/>
          <w:bCs w:val="false"/>
          <w:sz w:val="22"/>
          <w:szCs w:val="22"/>
        </w:rPr>
        <w:t xml:space="preserve">Escritura pública de constitución social ante notario.</w:t>
      </w:r>
    </w:p>
    <w:p>
      <w:pPr>
        <w:pStyle w:val="ListParagraph"/>
        <w:numPr>
          <w:ilvl w:val="0"/>
          <w:numId w:val="2"/>
        </w:numPr>
        <w:spacing w:after="60" w:before="60"/>
      </w:pPr>
      <w:r>
        <w:rPr>
          <w:rFonts w:ascii="Arial" w:cs="Arial" w:eastAsia="Arial" w:hAnsi="Arial"/>
          <w:b w:val="false"/>
          <w:bCs w:val="false"/>
          <w:sz w:val="22"/>
          <w:szCs w:val="22"/>
        </w:rPr>
        <w:t xml:space="preserve">Registro en FUNDEMPRESA (Registro de Comercio de Bolivia).</w:t>
      </w:r>
    </w:p>
    <w:p>
      <w:pPr>
        <w:pStyle w:val="ListParagraph"/>
        <w:numPr>
          <w:ilvl w:val="0"/>
          <w:numId w:val="2"/>
        </w:numPr>
        <w:spacing w:after="60" w:before="60"/>
      </w:pPr>
      <w:r>
        <w:rPr>
          <w:rFonts w:ascii="Arial" w:cs="Arial" w:eastAsia="Arial" w:hAnsi="Arial"/>
          <w:b w:val="false"/>
          <w:bCs w:val="false"/>
          <w:sz w:val="22"/>
          <w:szCs w:val="22"/>
        </w:rPr>
        <w:t xml:space="preserve">Inscripción en el NIT ante el SIN.</w:t>
      </w:r>
    </w:p>
    <w:p>
      <w:pPr>
        <w:pStyle w:val="ListParagraph"/>
        <w:numPr>
          <w:ilvl w:val="0"/>
          <w:numId w:val="2"/>
        </w:numPr>
        <w:spacing w:after="60" w:before="60"/>
      </w:pPr>
      <w:r>
        <w:rPr>
          <w:rFonts w:ascii="Arial" w:cs="Arial" w:eastAsia="Arial" w:hAnsi="Arial"/>
          <w:b w:val="false"/>
          <w:bCs w:val="false"/>
          <w:sz w:val="22"/>
          <w:szCs w:val="22"/>
        </w:rPr>
        <w:t xml:space="preserve">Registro sanitario ante SENASAG como fabricante de suplementos para alimentación animal.</w:t>
      </w:r>
    </w:p>
    <w:p>
      <w:pPr>
        <w:pStyle w:val="ListParagraph"/>
        <w:numPr>
          <w:ilvl w:val="0"/>
          <w:numId w:val="2"/>
        </w:numPr>
        <w:spacing w:after="60" w:before="60"/>
      </w:pPr>
      <w:r>
        <w:rPr>
          <w:rFonts w:ascii="Arial" w:cs="Arial" w:eastAsia="Arial" w:hAnsi="Arial"/>
          <w:b w:val="false"/>
          <w:bCs w:val="false"/>
          <w:sz w:val="22"/>
          <w:szCs w:val="22"/>
        </w:rPr>
        <w:t xml:space="preserve">Licencia ambiental categorizada según el RPCA (Reglamento de Prevención y Control Ambiental).</w:t>
      </w:r>
    </w:p>
    <w:p>
      <w:pPr>
        <w:pStyle w:val="ListParagraph"/>
        <w:numPr>
          <w:ilvl w:val="0"/>
          <w:numId w:val="2"/>
        </w:numPr>
        <w:spacing w:after="60" w:before="60"/>
      </w:pPr>
      <w:r>
        <w:rPr>
          <w:rFonts w:ascii="Arial" w:cs="Arial" w:eastAsia="Arial" w:hAnsi="Arial"/>
          <w:b w:val="false"/>
          <w:bCs w:val="false"/>
          <w:sz w:val="22"/>
          <w:szCs w:val="22"/>
        </w:rPr>
        <w:t xml:space="preserve">Registro de marca comercial ante SENAPI.</w:t>
      </w:r>
    </w:p>
    <w:p>
      <w:pPr>
        <w:pStyle w:val="ListParagraph"/>
        <w:numPr>
          <w:ilvl w:val="0"/>
          <w:numId w:val="2"/>
        </w:numPr>
        <w:spacing w:after="60" w:before="60"/>
      </w:pPr>
      <w:r>
        <w:rPr>
          <w:rFonts w:ascii="Arial" w:cs="Arial" w:eastAsia="Arial" w:hAnsi="Arial"/>
          <w:b w:val="false"/>
          <w:bCs w:val="false"/>
          <w:sz w:val="22"/>
          <w:szCs w:val="22"/>
        </w:rPr>
        <w:t xml:space="preserve">Cumplimiento de la Ley N° 1333 de Medio Ambiente y la Ley General del Trabajo.</w:t>
      </w:r>
    </w:p>
    <w:p>
      <w:pPr>
        <w:pStyle w:val="Heading2"/>
        <w:spacing w:after="100" w:before="240"/>
      </w:pPr>
      <w:r>
        <w:rPr>
          <w:rFonts w:ascii="Arial" w:cs="Arial" w:eastAsia="Arial" w:hAnsi="Arial"/>
          <w:b/>
          <w:bCs/>
          <w:color w:val="2E7D32"/>
          <w:sz w:val="24"/>
          <w:szCs w:val="24"/>
        </w:rPr>
        <w:t xml:space="preserve">4.6 Costos de Organización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Concepto</w:t>
            </w:r>
          </w:p>
        </w:tc>
        <w:tc>
          <w:tcPr>
            <w:tcW w:type="dxa" w:w="48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Costo estimado (Bs)</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Escritura de constitución (notaría)</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1.500</w:t>
            </w:r>
          </w:p>
        </w:tc>
      </w:tr>
      <w:tr>
        <w:tc>
          <w:tcPr>
            <w:tcW w:type="dxa" w:w="4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Registro en FUNDEMPRESA</w:t>
            </w:r>
          </w:p>
        </w:tc>
        <w:tc>
          <w:tcPr>
            <w:tcW w:type="dxa" w:w="4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455</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Inscripción NIT (SIN)</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(gratuito)</w:t>
            </w:r>
          </w:p>
        </w:tc>
      </w:tr>
      <w:tr>
        <w:tc>
          <w:tcPr>
            <w:tcW w:type="dxa" w:w="4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Licencia de funcionamiento municipal</w:t>
            </w:r>
          </w:p>
        </w:tc>
        <w:tc>
          <w:tcPr>
            <w:tcW w:type="dxa" w:w="4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800</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Registro sanitario SENASAG</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2.500</w:t>
            </w:r>
          </w:p>
        </w:tc>
      </w:tr>
      <w:tr>
        <w:tc>
          <w:tcPr>
            <w:tcW w:type="dxa" w:w="4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Licencia ambiental (categoría 3)</w:t>
            </w:r>
          </w:p>
        </w:tc>
        <w:tc>
          <w:tcPr>
            <w:tcW w:type="dxa" w:w="4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3.000</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Registro de marca SENAPI</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950</w:t>
            </w:r>
          </w:p>
        </w:tc>
      </w:tr>
      <w:tr>
        <w:tc>
          <w:tcPr>
            <w:tcW w:type="dxa" w:w="4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Gastos de asesoría legal</w:t>
            </w:r>
          </w:p>
        </w:tc>
        <w:tc>
          <w:tcPr>
            <w:tcW w:type="dxa" w:w="4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2.000</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Gastos de capacitación inicial del personal</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3.000</w:t>
            </w:r>
          </w:p>
        </w:tc>
      </w:tr>
      <w:tr>
        <w:tc>
          <w:tcPr>
            <w:tcW w:type="dxa" w:w="4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Imprevistos (10%)</w:t>
            </w:r>
          </w:p>
        </w:tc>
        <w:tc>
          <w:tcPr>
            <w:tcW w:type="dxa" w:w="4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1.421</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TOTAL COSTOS DE ORGANIZACIÓN</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15.626</w:t>
            </w:r>
          </w:p>
        </w:tc>
      </w:tr>
    </w:tbl>
    <w:p>
      <w:r>
        <w:t xml:space="preserve"/>
      </w:r>
    </w:p>
    <w:p>
      <w:pPr>
        <w:pBdr>
          <w:bottom w:val="single" w:color="4CAF50" w:sz="4" w:space="1"/>
        </w:pBdr>
        <w:spacing w:after="120" w:before="120"/>
      </w:pPr>
    </w:p>
    <w:p>
      <w:pPr>
        <w:pStyle w:val="Heading1"/>
        <w:spacing w:after="120" w:before="300"/>
      </w:pPr>
      <w:r>
        <w:rPr>
          <w:rFonts w:ascii="Arial" w:cs="Arial" w:eastAsia="Arial" w:hAnsi="Arial"/>
          <w:b/>
          <w:bCs/>
          <w:color w:val="1B5E20"/>
          <w:sz w:val="28"/>
          <w:szCs w:val="28"/>
        </w:rPr>
        <w:t xml:space="preserve">CAPÍTULO 5: PLAN ECONÓMICO FINANCIERO</w:t>
      </w:r>
    </w:p>
    <w:p>
      <w:pPr>
        <w:spacing w:after="80" w:before="80"/>
        <w:jc w:val="center"/>
      </w:pPr>
      <w:r>
        <w:rPr>
          <w:rFonts w:ascii="Arial" w:cs="Arial" w:eastAsia="Arial" w:hAnsi="Arial"/>
          <w:b/>
          <w:bCs/>
          <w:i w:val="false"/>
          <w:iCs w:val="false"/>
          <w:sz w:val="22"/>
          <w:szCs w:val="22"/>
        </w:rPr>
        <w:t xml:space="preserve">MODELO CANVAS – INGRESOS Y COSTOS</w:t>
      </w:r>
    </w:p>
    <w:p>
      <w:r>
        <w:t xml:space="preserve"/>
      </w:r>
    </w:p>
    <w:p>
      <w:pPr>
        <w:pStyle w:val="Heading2"/>
        <w:spacing w:after="100" w:before="240"/>
      </w:pPr>
      <w:r>
        <w:rPr>
          <w:rFonts w:ascii="Arial" w:cs="Arial" w:eastAsia="Arial" w:hAnsi="Arial"/>
          <w:b/>
          <w:bCs/>
          <w:color w:val="2E7D32"/>
          <w:sz w:val="24"/>
          <w:szCs w:val="24"/>
        </w:rPr>
        <w:t xml:space="preserve">5.1 Inversión Total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400"/>
      </w:tblGrid>
      <w:tr>
        <w:tc>
          <w:tcPr>
            <w:tcW w:type="dxa" w:w="3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Concepto</w:t>
            </w:r>
          </w:p>
        </w:tc>
        <w:tc>
          <w:tcPr>
            <w:tcW w:type="dxa" w:w="24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Monto (Bs)</w:t>
            </w:r>
          </w:p>
        </w:tc>
        <w:tc>
          <w:tcPr>
            <w:tcW w:type="dxa" w:w="24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Monto (USD)</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Activos fijos (maquinaria y equipos)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133.630</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19.300</w:t>
            </w:r>
          </w:p>
        </w:tc>
      </w:tr>
      <w:tr>
        <w:tc>
          <w:tcPr>
            <w:tcW w:type="dxa" w:w="3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Infraestructura y adecuación de planta</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69.300</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10.000</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Mobiliario y equipos de oficina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10.395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1.500</w:t>
            </w:r>
          </w:p>
        </w:tc>
      </w:tr>
      <w:tr>
        <w:tc>
          <w:tcPr>
            <w:tcW w:type="dxa" w:w="3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Vehículo de transporte (usado)</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55.440</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8.000</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Capital de trabajo (3 meses)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138.600</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20.000</w:t>
            </w:r>
          </w:p>
        </w:tc>
      </w:tr>
      <w:tr>
        <w:tc>
          <w:tcPr>
            <w:tcW w:type="dxa" w:w="38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Gastos preoperativos y organización</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15.626</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2.255</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TOTAL INVERSIÓN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422.991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61.055</w:t>
            </w:r>
          </w:p>
        </w:tc>
      </w:tr>
    </w:tbl>
    <w:p>
      <w:r>
        <w:t xml:space="preserve"/>
      </w:r>
    </w:p>
    <w:p>
      <w:pPr>
        <w:spacing w:after="80" w:before="80"/>
        <w:jc w:val="left"/>
      </w:pPr>
      <w:r>
        <w:rPr>
          <w:rFonts w:ascii="Arial" w:cs="Arial" w:eastAsia="Arial" w:hAnsi="Arial"/>
          <w:b w:val="false"/>
          <w:bCs w:val="false"/>
          <w:i/>
          <w:iCs/>
          <w:sz w:val="20"/>
          <w:szCs w:val="20"/>
        </w:rPr>
        <w:t xml:space="preserve">Nota: Tipo de cambio referencial: 1 USD = 6,93 Bs.</w:t>
      </w:r>
    </w:p>
    <w:p>
      <w:pPr>
        <w:pStyle w:val="Heading2"/>
        <w:spacing w:after="100" w:before="240"/>
      </w:pPr>
      <w:r>
        <w:rPr>
          <w:rFonts w:ascii="Arial" w:cs="Arial" w:eastAsia="Arial" w:hAnsi="Arial"/>
          <w:b/>
          <w:bCs/>
          <w:color w:val="2E7D32"/>
          <w:sz w:val="24"/>
          <w:szCs w:val="24"/>
        </w:rPr>
        <w:t xml:space="preserve">5.2 Costos Fijos Mensuales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Concepto</w:t>
            </w:r>
          </w:p>
        </w:tc>
        <w:tc>
          <w:tcPr>
            <w:tcW w:type="dxa" w:w="48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Costo mensual (Bs)</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Planilla de personal (23 empleados)</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111.200</w:t>
            </w:r>
          </w:p>
        </w:tc>
      </w:tr>
      <w:tr>
        <w:tc>
          <w:tcPr>
            <w:tcW w:type="dxa" w:w="4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Galpón / área de producción (alquiler)</w:t>
            </w:r>
          </w:p>
        </w:tc>
        <w:tc>
          <w:tcPr>
            <w:tcW w:type="dxa" w:w="4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11.136</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Servicios básicos (energía, agua, internet)</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5.000</w:t>
            </w:r>
          </w:p>
        </w:tc>
      </w:tr>
      <w:tr>
        <w:tc>
          <w:tcPr>
            <w:tcW w:type="dxa" w:w="4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Mantenimiento de maquinaria</w:t>
            </w:r>
          </w:p>
        </w:tc>
        <w:tc>
          <w:tcPr>
            <w:tcW w:type="dxa" w:w="4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5.000</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Depreciación de activos (mensual)</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1.770</w:t>
            </w:r>
          </w:p>
        </w:tc>
      </w:tr>
      <w:tr>
        <w:tc>
          <w:tcPr>
            <w:tcW w:type="dxa" w:w="4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TOTAL COSTOS FIJOS MENSUALES</w:t>
            </w:r>
          </w:p>
        </w:tc>
        <w:tc>
          <w:tcPr>
            <w:tcW w:type="dxa" w:w="48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134.106</w:t>
            </w:r>
          </w:p>
        </w:tc>
      </w:tr>
    </w:tbl>
    <w:p>
      <w:r>
        <w:t xml:space="preserve"/>
      </w:r>
    </w:p>
    <w:p>
      <w:pPr>
        <w:spacing w:after="80" w:before="80"/>
        <w:jc w:val="left"/>
      </w:pPr>
      <w:r>
        <w:rPr>
          <w:rFonts w:ascii="Arial" w:cs="Arial" w:eastAsia="Arial" w:hAnsi="Arial"/>
          <w:b w:val="false"/>
          <w:bCs w:val="false"/>
          <w:i/>
          <w:iCs/>
          <w:sz w:val="20"/>
          <w:szCs w:val="20"/>
        </w:rPr>
        <w:t xml:space="preserve">La depreciación se calcula con el método lineal conforme al Artículo 22 del Decreto Supremo N° 24051.</w:t>
      </w:r>
    </w:p>
    <w:p>
      <w:pPr>
        <w:pStyle w:val="Heading2"/>
        <w:spacing w:after="100" w:before="240"/>
      </w:pPr>
      <w:r>
        <w:rPr>
          <w:rFonts w:ascii="Arial" w:cs="Arial" w:eastAsia="Arial" w:hAnsi="Arial"/>
          <w:b/>
          <w:bCs/>
          <w:color w:val="2E7D32"/>
          <w:sz w:val="24"/>
          <w:szCs w:val="24"/>
        </w:rPr>
        <w:t xml:space="preserve">5.3 Costos Variables por Bloque (25 kg)</w:t>
      </w:r>
    </w:p>
    <w:p>
      <w:pPr>
        <w:spacing w:after="80" w:before="80"/>
        <w:jc w:val="both"/>
      </w:pPr>
      <w:r>
        <w:rPr>
          <w:rFonts w:ascii="Arial" w:cs="Arial" w:eastAsia="Arial" w:hAnsi="Arial"/>
          <w:b w:val="false"/>
          <w:bCs w:val="false"/>
          <w:i w:val="false"/>
          <w:iCs w:val="false"/>
          <w:sz w:val="22"/>
          <w:szCs w:val="22"/>
        </w:rPr>
        <w:t xml:space="preserve">El costo variable unitario real, calculado con precios de mercado local verificados, asciende a Bs 78,08 por bloque. (Ver detalle completo en Tabla de Formulación, Capítulo 2.)</w:t>
      </w:r>
    </w:p>
    <w:p>
      <w:pPr>
        <w:pStyle w:val="Heading2"/>
        <w:spacing w:after="100" w:before="240"/>
      </w:pPr>
      <w:r>
        <w:rPr>
          <w:rFonts w:ascii="Arial" w:cs="Arial" w:eastAsia="Arial" w:hAnsi="Arial"/>
          <w:b/>
          <w:bCs/>
          <w:color w:val="2E7D32"/>
          <w:sz w:val="24"/>
          <w:szCs w:val="24"/>
        </w:rPr>
        <w:t xml:space="preserve">5.4 Costo Unitario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43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 (Bs)</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Costo variable por bloque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78,08</w:t>
            </w:r>
          </w:p>
        </w:tc>
      </w:tr>
      <w:tr>
        <w:tc>
          <w:tcPr>
            <w:tcW w:type="dxa" w:w="50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Ganancia bruta por bloque (a Bs 130)</w:t>
            </w:r>
          </w:p>
        </w:tc>
        <w:tc>
          <w:tcPr>
            <w:tcW w:type="dxa" w:w="43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51,92</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Punto de equilibrio mensual</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2.583 bloques</w:t>
            </w:r>
          </w:p>
        </w:tc>
      </w:tr>
    </w:tbl>
    <w:p>
      <w:r>
        <w:t xml:space="preserve"/>
      </w:r>
    </w:p>
    <w:p>
      <w:pPr>
        <w:spacing w:after="80" w:before="80"/>
        <w:jc w:val="both"/>
      </w:pPr>
      <w:r>
        <w:rPr>
          <w:rFonts w:ascii="Arial" w:cs="Arial" w:eastAsia="Arial" w:hAnsi="Arial"/>
          <w:b w:val="false"/>
          <w:bCs w:val="false"/>
          <w:i w:val="false"/>
          <w:iCs w:val="false"/>
          <w:sz w:val="22"/>
          <w:szCs w:val="22"/>
        </w:rPr>
        <w:t xml:space="preserve">Cálculo del punto de equilibrio: Bs 134.106 (costos fijos) ÷ Bs 51,92 (ganancia bruta unitaria) = 2.583 unidades/mes.</w:t>
      </w:r>
    </w:p>
    <w:p>
      <w:pPr>
        <w:pStyle w:val="Heading2"/>
        <w:spacing w:after="100" w:before="240"/>
      </w:pPr>
      <w:r>
        <w:rPr>
          <w:rFonts w:ascii="Arial" w:cs="Arial" w:eastAsia="Arial" w:hAnsi="Arial"/>
          <w:b/>
          <w:bCs/>
          <w:color w:val="2E7D32"/>
          <w:sz w:val="24"/>
          <w:szCs w:val="24"/>
        </w:rPr>
        <w:t xml:space="preserve">5.5 Capital de Trabajo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460"/>
      </w:tblGrid>
      <w:tr>
        <w:tc>
          <w:tcPr>
            <w:tcW w:type="dxa" w:w="3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Concepto</w:t>
            </w:r>
          </w:p>
        </w:tc>
        <w:tc>
          <w:tcPr>
            <w:tcW w:type="dxa" w:w="24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Mensual (Bs)</w:t>
            </w:r>
          </w:p>
        </w:tc>
        <w:tc>
          <w:tcPr>
            <w:tcW w:type="dxa" w:w="24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3 meses (Bs)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Planilla de personal</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32.500</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97.500</w:t>
            </w:r>
          </w:p>
        </w:tc>
      </w:tr>
      <w:tr>
        <w:tc>
          <w:tcPr>
            <w:tcW w:type="dxa" w:w="3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Materia prima e insumos</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17.200</w:t>
            </w:r>
          </w:p>
        </w:tc>
        <w:tc>
          <w:tcPr>
            <w:tcW w:type="dxa" w:w="24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51.600</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Alquiler</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5.500</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16.500</w:t>
            </w:r>
          </w:p>
        </w:tc>
      </w:tr>
      <w:tr>
        <w:tc>
          <w:tcPr>
            <w:tcW w:type="dxa" w:w="3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Servicios básicos</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2.800</w:t>
            </w:r>
          </w:p>
        </w:tc>
        <w:tc>
          <w:tcPr>
            <w:tcW w:type="dxa" w:w="24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8.400</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Transporte y combustible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2.000</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6.000</w:t>
            </w:r>
          </w:p>
        </w:tc>
      </w:tr>
      <w:tr>
        <w:tc>
          <w:tcPr>
            <w:tcW w:type="dxa" w:w="3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Otros gastos operativos</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1.500</w:t>
            </w:r>
          </w:p>
        </w:tc>
        <w:tc>
          <w:tcPr>
            <w:tcW w:type="dxa" w:w="24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4.500</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Fondo de contingencia (10%)</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6.150</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18.450</w:t>
            </w:r>
          </w:p>
        </w:tc>
      </w:tr>
      <w:tr>
        <w:tc>
          <w:tcPr>
            <w:tcW w:type="dxa" w:w="35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TOTAL CAPITAL DE TRABAJO</w:t>
            </w:r>
          </w:p>
        </w:tc>
        <w:tc>
          <w:tcPr>
            <w:tcW w:type="dxa" w:w="240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67.650</w:t>
            </w:r>
          </w:p>
        </w:tc>
        <w:tc>
          <w:tcPr>
            <w:tcW w:type="dxa" w:w="2460"/>
            <w:tcBorders>
              <w:top w:val="single" w:color="AAAAAA" w:sz="1"/>
              <w:left w:val="single" w:color="AAAAAA" w:sz="1"/>
              <w:bottom w:val="single" w:color="AAAAAA" w:sz="1"/>
              <w:right w:val="single" w:color="AAAAAA" w:sz="1"/>
            </w:tcBorders>
            <w:shd w:fill="F1F8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202.950</w:t>
            </w:r>
          </w:p>
        </w:tc>
      </w:tr>
    </w:tbl>
    <w:p>
      <w:r>
        <w:t xml:space="preserve"/>
      </w:r>
    </w:p>
    <w:p>
      <w:pPr>
        <w:pStyle w:val="Heading2"/>
        <w:spacing w:after="100" w:before="240"/>
      </w:pPr>
      <w:r>
        <w:rPr>
          <w:rFonts w:ascii="Arial" w:cs="Arial" w:eastAsia="Arial" w:hAnsi="Arial"/>
          <w:b/>
          <w:bCs/>
          <w:color w:val="2E7D32"/>
          <w:sz w:val="24"/>
          <w:szCs w:val="24"/>
        </w:rPr>
        <w:t xml:space="preserve">5.6 Flujo de Caja Proyectado (5 años, en miles de 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c>
          <w:tcPr>
            <w:tcW w:type="dxa" w:w="260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Concepto</w:t>
            </w:r>
          </w:p>
        </w:tc>
        <w:tc>
          <w:tcPr>
            <w:tcW w:type="dxa" w:w="1352"/>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Año 1</w:t>
            </w:r>
          </w:p>
        </w:tc>
        <w:tc>
          <w:tcPr>
            <w:tcW w:type="dxa" w:w="1352"/>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Año 2</w:t>
            </w:r>
          </w:p>
        </w:tc>
        <w:tc>
          <w:tcPr>
            <w:tcW w:type="dxa" w:w="1352"/>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Año 3</w:t>
            </w:r>
          </w:p>
        </w:tc>
        <w:tc>
          <w:tcPr>
            <w:tcW w:type="dxa" w:w="1352"/>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Año 4</w:t>
            </w:r>
          </w:p>
        </w:tc>
        <w:tc>
          <w:tcPr>
            <w:tcW w:type="dxa" w:w="1352"/>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Año 5</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Ingresos por ventas</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1.267</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1.901</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2.535</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3.168</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3.802</w:t>
            </w:r>
          </w:p>
        </w:tc>
      </w:tr>
      <w:tr>
        <w:tc>
          <w:tcPr>
            <w:tcW w:type="dxa" w:w="26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Costos variables</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413</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619</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825</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1.032</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1.238</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Costos fijos</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590</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608</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626</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645</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664</w:t>
            </w:r>
          </w:p>
        </w:tc>
      </w:tr>
      <w:tr>
        <w:tc>
          <w:tcPr>
            <w:tcW w:type="dxa" w:w="26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Utilidad operativa</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264</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674</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1.084</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1.491</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1.900</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Impuestos IUE 25%</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66</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168</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271</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373</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475</w:t>
            </w:r>
          </w:p>
        </w:tc>
      </w:tr>
      <w:tr>
        <w:tc>
          <w:tcPr>
            <w:tcW w:type="dxa" w:w="26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Utilidad neta</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198</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506</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813</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1.118</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1.425</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Depreciación</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35</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35</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35</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35</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35</w:t>
            </w:r>
          </w:p>
        </w:tc>
      </w:tr>
      <w:tr>
        <w:tc>
          <w:tcPr>
            <w:tcW w:type="dxa" w:w="26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Inversión inicial</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-423</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 Flujo de caja neto</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-190</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541</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848</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1.153</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1.460</w:t>
            </w:r>
          </w:p>
        </w:tc>
      </w:tr>
      <w:tr>
        <w:tc>
          <w:tcPr>
            <w:tcW w:type="dxa" w:w="26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Flujo acumulado</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-190</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351</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1.199</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2.352</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3.812</w:t>
            </w:r>
          </w:p>
        </w:tc>
      </w:tr>
    </w:tbl>
    <w:p>
      <w:r>
        <w:t xml:space="preserve"/>
      </w:r>
    </w:p>
    <w:p>
      <w:pPr>
        <w:pStyle w:val="Heading2"/>
        <w:spacing w:after="100" w:before="240"/>
      </w:pPr>
      <w:r>
        <w:rPr>
          <w:rFonts w:ascii="Arial" w:cs="Arial" w:eastAsia="Arial" w:hAnsi="Arial"/>
          <w:b/>
          <w:bCs/>
          <w:color w:val="2E7D32"/>
          <w:sz w:val="24"/>
          <w:szCs w:val="24"/>
        </w:rPr>
        <w:t xml:space="preserve">5.7 Estado de Resultados Proyectado (5 años, en miles de 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c>
          <w:tcPr>
            <w:tcW w:type="dxa" w:w="260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Partida</w:t>
            </w:r>
          </w:p>
        </w:tc>
        <w:tc>
          <w:tcPr>
            <w:tcW w:type="dxa" w:w="1352"/>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Año 1</w:t>
            </w:r>
          </w:p>
        </w:tc>
        <w:tc>
          <w:tcPr>
            <w:tcW w:type="dxa" w:w="1352"/>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Año 2</w:t>
            </w:r>
          </w:p>
        </w:tc>
        <w:tc>
          <w:tcPr>
            <w:tcW w:type="dxa" w:w="1352"/>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Año 3</w:t>
            </w:r>
          </w:p>
        </w:tc>
        <w:tc>
          <w:tcPr>
            <w:tcW w:type="dxa" w:w="1352"/>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Año 4</w:t>
            </w:r>
          </w:p>
        </w:tc>
        <w:tc>
          <w:tcPr>
            <w:tcW w:type="dxa" w:w="1352"/>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Año 5</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Ventas netas</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1.267</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1.901</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2.535</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3.168</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3.802</w:t>
            </w:r>
          </w:p>
        </w:tc>
      </w:tr>
      <w:tr>
        <w:tc>
          <w:tcPr>
            <w:tcW w:type="dxa" w:w="26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Costo de ventas</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1.003</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1.227</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1.451</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1.677</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1.902</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Utilidad bruta</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264</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674</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1.084</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1.491</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1.900</w:t>
            </w:r>
          </w:p>
        </w:tc>
      </w:tr>
      <w:tr>
        <w:tc>
          <w:tcPr>
            <w:tcW w:type="dxa" w:w="26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Gastos administrativos</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108</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111</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114</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118</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121</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Gastos de comercialización</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60</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72</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84</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96</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108</w:t>
            </w:r>
          </w:p>
        </w:tc>
      </w:tr>
      <w:tr>
        <w:tc>
          <w:tcPr>
            <w:tcW w:type="dxa" w:w="26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Utilidad operativa (EBIT)</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96</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491</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886</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1.277</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1.671</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Impuesto sobre utilidades (25%)</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24</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123</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221</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319</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418</w:t>
            </w:r>
          </w:p>
        </w:tc>
      </w:tr>
      <w:tr>
        <w:tc>
          <w:tcPr>
            <w:tcW w:type="dxa" w:w="26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Utilidad neta</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72</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368</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665</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958</w:t>
            </w:r>
          </w:p>
        </w:tc>
        <w:tc>
          <w:tcPr>
            <w:tcW w:type="dxa" w:w="1352"/>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1.253</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Margen neto</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5,7%</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19,4%</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26,2%</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30,2%</w:t>
            </w:r>
          </w:p>
        </w:tc>
        <w:tc>
          <w:tcPr>
            <w:tcW w:type="dxa" w:w="135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33,0%</w:t>
            </w:r>
          </w:p>
        </w:tc>
      </w:tr>
    </w:tbl>
    <w:p>
      <w:r>
        <w:t xml:space="preserve"/>
      </w:r>
    </w:p>
    <w:p>
      <w:pPr>
        <w:pStyle w:val="Heading2"/>
        <w:spacing w:after="100" w:before="240"/>
      </w:pPr>
      <w:r>
        <w:rPr>
          <w:rFonts w:ascii="Arial" w:cs="Arial" w:eastAsia="Arial" w:hAnsi="Arial"/>
          <w:b/>
          <w:bCs/>
          <w:color w:val="2E7D32"/>
          <w:sz w:val="24"/>
          <w:szCs w:val="24"/>
        </w:rPr>
        <w:t xml:space="preserve">5.8 Indicadores Financieros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Indicador</w:t>
            </w:r>
          </w:p>
        </w:tc>
        <w:tc>
          <w:tcPr>
            <w:tcW w:type="dxa" w:w="200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Valor</w:t>
            </w:r>
          </w:p>
        </w:tc>
        <w:tc>
          <w:tcPr>
            <w:tcW w:type="dxa" w:w="4560"/>
            <w:tcBorders>
              <w:top w:val="single" w:color="2E7D32" w:sz="1"/>
              <w:left w:val="single" w:color="2E7D32" w:sz="1"/>
              <w:bottom w:val="single" w:color="2E7D32" w:sz="1"/>
              <w:right w:val="single" w:color="2E7D32" w:sz="1"/>
            </w:tcBorders>
            <w:shd w:fill="2E7D32" w:val="clear"/>
            <w:tcMar>
              <w:top w:type="dxa" w:w="60"/>
              <w:left w:type="dxa" w:w="100"/>
              <w:bottom w:type="dxa" w:w="60"/>
              <w:right w:type="dxa" w:w="100"/>
            </w:tcMar>
            <w:vAlign w:val="center"/>
          </w:tcPr>
          <w:p>
            <w:r>
              <w:rPr>
                <w:rFonts w:ascii="Arial" w:cs="Arial" w:eastAsia="Arial" w:hAnsi="Arial"/>
                <w:b/>
                <w:bCs/>
                <w:color w:val="FFFFFF"/>
                <w:sz w:val="18"/>
                <w:szCs w:val="18"/>
              </w:rPr>
              <w:t xml:space="preserve">Interpretación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VAN (Valor Actual Neto)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Bs 1.852.340</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Positivo: el proyecto genera valor por encima del costo de capital</w:t>
            </w:r>
          </w:p>
        </w:tc>
      </w:tr>
      <w:tr>
        <w:tc>
          <w:tcPr>
            <w:tcW w:type="dxa" w:w="28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TIR (Tasa Interna de Retorno)</w:t>
            </w:r>
          </w:p>
        </w:tc>
        <w:tc>
          <w:tcPr>
            <w:tcW w:type="dxa" w:w="20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78,4%</w:t>
            </w:r>
          </w:p>
        </w:tc>
        <w:tc>
          <w:tcPr>
            <w:tcW w:type="dxa" w:w="456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Supera ampliamente la tasa de descuento (15%)</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Período de recuperación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 año 10 meses</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La inversión se recupera antes de los 2 años</w:t>
            </w:r>
          </w:p>
        </w:tc>
      </w:tr>
      <w:tr>
        <w:tc>
          <w:tcPr>
            <w:tcW w:type="dxa" w:w="28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Relación Beneficio/Costo</w:t>
            </w:r>
          </w:p>
        </w:tc>
        <w:tc>
          <w:tcPr>
            <w:tcW w:type="dxa" w:w="20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1,92</w:t>
            </w:r>
          </w:p>
        </w:tc>
        <w:tc>
          <w:tcPr>
            <w:tcW w:type="dxa" w:w="456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Por cada Bs invertido se generan Bs 1,92 en beneficios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Punto de equilibrio mensual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2.583 bloques</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27,5% de la capacidad instalada total</w:t>
            </w:r>
          </w:p>
        </w:tc>
      </w:tr>
      <w:tr>
        <w:tc>
          <w:tcPr>
            <w:tcW w:type="dxa" w:w="28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ROI (Año 3)</w:t>
            </w:r>
          </w:p>
        </w:tc>
        <w:tc>
          <w:tcPr>
            <w:tcW w:type="dxa" w:w="200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192%</w:t>
            </w:r>
          </w:p>
        </w:tc>
        <w:tc>
          <w:tcPr>
            <w:tcW w:type="dxa" w:w="4560"/>
            <w:tcBorders>
              <w:top w:val="single" w:color="AAAAAA" w:sz="1"/>
              <w:left w:val="single" w:color="AAAAAA" w:sz="1"/>
              <w:bottom w:val="single" w:color="AAAAAA" w:sz="1"/>
              <w:right w:val="single" w:color="AAAAAA" w:sz="1"/>
            </w:tcBorders>
            <w:shd w:fill="F1F8E9"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Alta rentabilidad sobre el capital invertido</w:t>
            </w:r>
          </w:p>
        </w:tc>
      </w:tr>
    </w:tbl>
    <w:p>
      <w:r>
        <w:t xml:space="preserve"/>
      </w:r>
    </w:p>
    <w:p>
      <w:pPr>
        <w:pBdr>
          <w:bottom w:val="single" w:color="4CAF50" w:sz="4" w:space="1"/>
        </w:pBdr>
        <w:spacing w:after="120" w:before="120"/>
      </w:pPr>
    </w:p>
    <w:p>
      <w:pPr>
        <w:pStyle w:val="Heading1"/>
        <w:spacing w:after="120" w:before="300"/>
      </w:pPr>
      <w:r>
        <w:rPr>
          <w:rFonts w:ascii="Arial" w:cs="Arial" w:eastAsia="Arial" w:hAnsi="Arial"/>
          <w:b/>
          <w:bCs/>
          <w:color w:val="1B5E20"/>
          <w:sz w:val="28"/>
          <w:szCs w:val="28"/>
        </w:rPr>
        <w:t xml:space="preserve">4. DISCUSIÓN</w:t>
      </w:r>
    </w:p>
    <w:p>
      <w:pPr>
        <w:pStyle w:val="Heading2"/>
        <w:spacing w:after="100" w:before="240"/>
      </w:pPr>
      <w:r>
        <w:rPr>
          <w:rFonts w:ascii="Arial" w:cs="Arial" w:eastAsia="Arial" w:hAnsi="Arial"/>
          <w:b/>
          <w:bCs/>
          <w:color w:val="2E7D32"/>
          <w:sz w:val="24"/>
          <w:szCs w:val="24"/>
        </w:rPr>
        <w:t xml:space="preserve">4.1 Interpretación de los Resultados</w:t>
      </w:r>
    </w:p>
    <w:p>
      <w:pPr>
        <w:spacing w:after="80" w:before="80"/>
        <w:jc w:val="both"/>
      </w:pPr>
      <w:r>
        <w:rPr>
          <w:rFonts w:ascii="Arial" w:cs="Arial" w:eastAsia="Arial" w:hAnsi="Arial"/>
          <w:b w:val="false"/>
          <w:bCs w:val="false"/>
          <w:i w:val="false"/>
          <w:iCs w:val="false"/>
          <w:sz w:val="22"/>
          <w:szCs w:val="22"/>
        </w:rPr>
        <w:t xml:space="preserve">Los resultados obtenidos en este proyecto confirman la viabilidad técnica, comercial y financiera de NutriCiclo SCZ como emprendimiento de economía circular aplicado al sector ganadero de Santa Cruz. La encuesta de validación reveló que el 78,6% de los ganaderos medianos encuestados mostró interés positivo en el producto, superando el umbral del 60% establecido como criterio de validación. Asimismo, el 64,3% manifestó disposición a pagar Bs 100 o más por un bloque de 25 kg, lo cual coincide con el precio de venta proyectado de Bs 125–130.</w:t>
      </w:r>
    </w:p>
    <w:p>
      <w:pPr>
        <w:spacing w:after="80" w:before="80"/>
        <w:jc w:val="both"/>
      </w:pPr>
      <w:r>
        <w:rPr>
          <w:rFonts w:ascii="Arial" w:cs="Arial" w:eastAsia="Arial" w:hAnsi="Arial"/>
          <w:b w:val="false"/>
          <w:bCs w:val="false"/>
          <w:i w:val="false"/>
          <w:iCs w:val="false"/>
          <w:sz w:val="22"/>
          <w:szCs w:val="22"/>
        </w:rPr>
        <w:t xml:space="preserve">Desde el punto de vista operativo, el proceso productivo en tres fases demuestra ser técnicamente factible con la tecnología disponible localmente y a costos razonables. La integración de la biofábrica BSF como fuente de proteína alternativa constituye el principal elemento diferenciador frente a la competencia tradicional.</w:t>
      </w:r>
    </w:p>
    <w:p>
      <w:pPr>
        <w:pStyle w:val="Heading2"/>
        <w:spacing w:after="100" w:before="240"/>
      </w:pPr>
      <w:r>
        <w:rPr>
          <w:rFonts w:ascii="Arial" w:cs="Arial" w:eastAsia="Arial" w:hAnsi="Arial"/>
          <w:b/>
          <w:bCs/>
          <w:color w:val="2E7D32"/>
          <w:sz w:val="24"/>
          <w:szCs w:val="24"/>
        </w:rPr>
        <w:t xml:space="preserve">4.2 Fundamentación del Conocimiento Generado</w:t>
      </w:r>
    </w:p>
    <w:p>
      <w:pPr>
        <w:spacing w:after="80" w:before="80"/>
        <w:jc w:val="both"/>
      </w:pPr>
      <w:r>
        <w:rPr>
          <w:rFonts w:ascii="Arial" w:cs="Arial" w:eastAsia="Arial" w:hAnsi="Arial"/>
          <w:b w:val="false"/>
          <w:bCs w:val="false"/>
          <w:i w:val="false"/>
          <w:iCs w:val="false"/>
          <w:sz w:val="22"/>
          <w:szCs w:val="22"/>
        </w:rPr>
        <w:t xml:space="preserve">El conocimiento generado articula tres campos disciplinarios: la biotecnología aplicada (cría de BSF para conversión de residuos en proteína), la economía circular (valorización de subproductos agroindustriales) y la nutrición animal (formulación de suplementos de alto valor biológico). La propuesta genera conocimiento aplicado sobre cómo transformar residuos en recursos, un principio fundamental de la economía circular especialmente relevante en economías emergentes con alta actividad agroindustrial.</w:t>
      </w:r>
    </w:p>
    <w:p>
      <w:pPr>
        <w:pStyle w:val="Heading2"/>
        <w:spacing w:after="100" w:before="240"/>
      </w:pPr>
      <w:r>
        <w:rPr>
          <w:rFonts w:ascii="Arial" w:cs="Arial" w:eastAsia="Arial" w:hAnsi="Arial"/>
          <w:b/>
          <w:bCs/>
          <w:color w:val="2E7D32"/>
          <w:sz w:val="24"/>
          <w:szCs w:val="24"/>
        </w:rPr>
        <w:t xml:space="preserve">4.3 Importancia de los Principales Hallazgos</w:t>
      </w:r>
    </w:p>
    <w:p>
      <w:pPr>
        <w:spacing w:after="80" w:before="80"/>
        <w:jc w:val="both"/>
      </w:pPr>
      <w:r>
        <w:rPr>
          <w:rFonts w:ascii="Arial" w:cs="Arial" w:eastAsia="Arial" w:hAnsi="Arial"/>
          <w:b w:val="false"/>
          <w:bCs w:val="false"/>
          <w:i w:val="false"/>
          <w:iCs w:val="false"/>
          <w:sz w:val="22"/>
          <w:szCs w:val="22"/>
        </w:rPr>
        <w:t xml:space="preserve">El dato de que el 86% de los ganaderos encuestados reporta pérdidas significativas durante la sequía evidencia un mercado desatendido: el 38% no utiliza ningún tipo de suplemento. La barrera de desconfianza del 26% señala la necesidad de implementar una estrategia de lanzamiento basada en demostración en campo con resultados medibles en 30 días. El interés del 74% en capacitación gratuita confirma que la socioformación es una herramienta estratégica de fidelización.</w:t>
      </w:r>
    </w:p>
    <w:p>
      <w:pPr>
        <w:pStyle w:val="Heading2"/>
        <w:spacing w:after="100" w:before="240"/>
      </w:pPr>
      <w:r>
        <w:rPr>
          <w:rFonts w:ascii="Arial" w:cs="Arial" w:eastAsia="Arial" w:hAnsi="Arial"/>
          <w:b/>
          <w:bCs/>
          <w:color w:val="2E7D32"/>
          <w:sz w:val="24"/>
          <w:szCs w:val="24"/>
        </w:rPr>
        <w:t xml:space="preserve">4.4 Comparación con Otros Estudios Relevantes</w:t>
      </w:r>
    </w:p>
    <w:p>
      <w:pPr>
        <w:spacing w:after="80" w:before="80"/>
        <w:jc w:val="both"/>
      </w:pPr>
      <w:r>
        <w:rPr>
          <w:rFonts w:ascii="Arial" w:cs="Arial" w:eastAsia="Arial" w:hAnsi="Arial"/>
          <w:b w:val="false"/>
          <w:bCs w:val="false"/>
          <w:i w:val="false"/>
          <w:iCs w:val="false"/>
          <w:sz w:val="22"/>
          <w:szCs w:val="22"/>
        </w:rPr>
        <w:t xml:space="preserve">Los resultados son consistentes con estudios previos. La FAO (2021) señala que la suplementación estratégica durante sequía puede mejorar la ganancia de peso en 15–30% y reducir la mortalidad animal. Estudios de Wageningen University y el CIAT han demostrado que la harina de larva BSF presenta un perfil de aminoácidos comparable a la harina de pescado. Villanueva Pedraza et al. (2023) determinaron que el consumo óptimo de bloques multinutricionales oscila entre 776 y 821 g/animal/día, validando la formulación de NutriCiclo. El INIAF (2022) reporta mejoras productivas significativas con bloques convencionales en el Chaco boliviano, lo que sugiere una oportunidad concreta para formulaciones innovadoras como la de NutriCiclo.</w:t>
      </w:r>
    </w:p>
    <w:p>
      <w:pPr>
        <w:pBdr>
          <w:bottom w:val="single" w:color="4CAF50" w:sz="4" w:space="1"/>
        </w:pBdr>
        <w:spacing w:after="120" w:before="120"/>
      </w:pPr>
    </w:p>
    <w:p>
      <w:pPr>
        <w:pStyle w:val="Heading1"/>
        <w:spacing w:after="120" w:before="300"/>
      </w:pPr>
      <w:r>
        <w:rPr>
          <w:rFonts w:ascii="Arial" w:cs="Arial" w:eastAsia="Arial" w:hAnsi="Arial"/>
          <w:b/>
          <w:bCs/>
          <w:color w:val="1B5E20"/>
          <w:sz w:val="28"/>
          <w:szCs w:val="28"/>
        </w:rPr>
        <w:t xml:space="preserve">5. CONCLUSIONES</w:t>
      </w:r>
    </w:p>
    <w:p>
      <w:pPr>
        <w:spacing w:after="80" w:before="80"/>
        <w:jc w:val="both"/>
      </w:pPr>
      <w:r>
        <w:rPr>
          <w:rFonts w:ascii="Arial" w:cs="Arial" w:eastAsia="Arial" w:hAnsi="Arial"/>
          <w:b w:val="false"/>
          <w:bCs w:val="false"/>
          <w:i w:val="false"/>
          <w:iCs w:val="false"/>
          <w:sz w:val="22"/>
          <w:szCs w:val="22"/>
        </w:rPr>
        <w:t xml:space="preserve">El presente proyecto socioformativo ha permitido diseñar, validar y proyectar un modelo de negocio circular basado en la transformación de residuos orgánicos en bloques multinutricionales para ganado bovino en Santa Cruz de la Sierra. Se establecen las siguientes conclusiones:</w:t>
      </w:r>
    </w:p>
    <w:p>
      <w:r>
        <w:t xml:space="preserve"/>
      </w:r>
    </w:p>
    <w:p>
      <w:pPr>
        <w:pStyle w:val="ListParagraph"/>
        <w:numPr>
          <w:ilvl w:val="0"/>
          <w:numId w:val="3"/>
        </w:numPr>
        <w:spacing w:after="60" w:before="60"/>
      </w:pPr>
      <w:r>
        <w:rPr>
          <w:rFonts w:ascii="Arial" w:cs="Arial" w:eastAsia="Arial" w:hAnsi="Arial"/>
          <w:b w:val="false"/>
          <w:bCs w:val="false"/>
          <w:sz w:val="22"/>
          <w:szCs w:val="22"/>
        </w:rPr>
        <w:t xml:space="preserve">Se confirma la existencia de un problema real y una oportunidad de mercado: el 86% de los ganaderos medianos encuestados reporta pérdidas durante la sequía y un porcentaje considerable no cuenta con alternativas de suplementación accesibles y efectivas.</w:t>
      </w:r>
    </w:p>
    <w:p>
      <w:pPr>
        <w:pStyle w:val="ListParagraph"/>
        <w:numPr>
          <w:ilvl w:val="0"/>
          <w:numId w:val="3"/>
        </w:numPr>
        <w:spacing w:after="60" w:before="60"/>
      </w:pPr>
      <w:r>
        <w:rPr>
          <w:rFonts w:ascii="Arial" w:cs="Arial" w:eastAsia="Arial" w:hAnsi="Arial"/>
          <w:b w:val="false"/>
          <w:bCs w:val="false"/>
          <w:sz w:val="22"/>
          <w:szCs w:val="22"/>
        </w:rPr>
        <w:t xml:space="preserve">El modelo de economía circular propuesto demuestra ser técnicamente viable. La integración de la cría de larvas BSF como fuente de proteína alternativa permite crear un ciclo cerrado donde los residuos se transforman en insumos productivos, reduciendo la contaminación ambiental y generando valor económico simultáneamente.</w:t>
      </w:r>
    </w:p>
    <w:p>
      <w:pPr>
        <w:pStyle w:val="ListParagraph"/>
        <w:numPr>
          <w:ilvl w:val="0"/>
          <w:numId w:val="3"/>
        </w:numPr>
        <w:spacing w:after="60" w:before="60"/>
      </w:pPr>
      <w:r>
        <w:rPr>
          <w:rFonts w:ascii="Arial" w:cs="Arial" w:eastAsia="Arial" w:hAnsi="Arial"/>
          <w:b w:val="false"/>
          <w:bCs w:val="false"/>
          <w:sz w:val="22"/>
          <w:szCs w:val="22"/>
        </w:rPr>
        <w:t xml:space="preserve">La viabilidad financiera del proyecto está respaldada por indicadores sólidos: VAN positivo de Bs 1.852.340, TIR del 78,4%, período de recuperación inferior a dos años y punto de equilibrio que se alcanza con solo el 27,5% de la capacidad instalada.</w:t>
      </w:r>
    </w:p>
    <w:p>
      <w:pPr>
        <w:pStyle w:val="ListParagraph"/>
        <w:numPr>
          <w:ilvl w:val="0"/>
          <w:numId w:val="3"/>
        </w:numPr>
        <w:spacing w:after="60" w:before="60"/>
      </w:pPr>
      <w:r>
        <w:rPr>
          <w:rFonts w:ascii="Arial" w:cs="Arial" w:eastAsia="Arial" w:hAnsi="Arial"/>
          <w:b w:val="false"/>
          <w:bCs w:val="false"/>
          <w:sz w:val="22"/>
          <w:szCs w:val="22"/>
        </w:rPr>
        <w:t xml:space="preserve">El mix de marketing diseñado (estrategia TTL, distribución mixta con FEGASACRUZ, precios diferenciados por volumen y post-venta técnico) es coherente con los hábitos de decisión del ganadero mediano cruceño.</w:t>
      </w:r>
    </w:p>
    <w:p>
      <w:pPr>
        <w:pStyle w:val="ListParagraph"/>
        <w:numPr>
          <w:ilvl w:val="0"/>
          <w:numId w:val="3"/>
        </w:numPr>
        <w:spacing w:after="60" w:before="60"/>
      </w:pPr>
      <w:r>
        <w:rPr>
          <w:rFonts w:ascii="Arial" w:cs="Arial" w:eastAsia="Arial" w:hAnsi="Arial"/>
          <w:b w:val="false"/>
          <w:bCs w:val="false"/>
          <w:sz w:val="22"/>
          <w:szCs w:val="22"/>
        </w:rPr>
        <w:t xml:space="preserve">El uso de Inteligencia Artificial como herramienta de apoyo en la estructuración del proyecto demostró ser un recurso valioso que potencia la calidad del trabajo académico sin sustituir el juicio crítico y la investigación de campo.</w:t>
      </w:r>
    </w:p>
    <w:p>
      <w:r>
        <w:t xml:space="preserve"/>
      </w:r>
    </w:p>
    <w:p>
      <w:pPr>
        <w:spacing w:after="80" w:before="80"/>
        <w:jc w:val="both"/>
      </w:pPr>
      <w:r>
        <w:rPr>
          <w:rFonts w:ascii="Arial" w:cs="Arial" w:eastAsia="Arial" w:hAnsi="Arial"/>
          <w:b w:val="false"/>
          <w:bCs w:val="false"/>
          <w:i w:val="false"/>
          <w:iCs w:val="false"/>
          <w:sz w:val="22"/>
          <w:szCs w:val="22"/>
        </w:rPr>
        <w:t xml:space="preserve">Como líneas futuras de investigación, se propone realizar pruebas piloto en campo con ganaderos del Norte Integrado para medir el impacto real del producto en la ganancia de peso y producción de leche, así como explorar la ampliación del modelo a otros segmentos del mercado ganadero y departamentos del país.</w:t>
      </w:r>
    </w:p>
    <w:p>
      <w:pPr>
        <w:pBdr>
          <w:bottom w:val="single" w:color="4CAF50" w:sz="4" w:space="1"/>
        </w:pBdr>
        <w:spacing w:after="120" w:before="120"/>
      </w:pPr>
    </w:p>
    <w:p>
      <w:pPr>
        <w:pStyle w:val="Heading1"/>
        <w:spacing w:after="120" w:before="300"/>
      </w:pPr>
      <w:r>
        <w:rPr>
          <w:rFonts w:ascii="Arial" w:cs="Arial" w:eastAsia="Arial" w:hAnsi="Arial"/>
          <w:b/>
          <w:bCs/>
          <w:color w:val="1B5E20"/>
          <w:sz w:val="28"/>
          <w:szCs w:val="28"/>
        </w:rPr>
        <w:t xml:space="preserve">6. REFERENCIAS</w:t>
      </w:r>
    </w:p>
    <w:p>
      <w:pPr>
        <w:spacing w:after="60" w:before="60"/>
        <w:jc w:val="both"/>
      </w:pPr>
      <w:r>
        <w:rPr>
          <w:rFonts w:ascii="Arial" w:cs="Arial" w:eastAsia="Arial" w:hAnsi="Arial"/>
          <w:b w:val="false"/>
          <w:bCs w:val="false"/>
          <w:i w:val="false"/>
          <w:iCs w:val="false"/>
          <w:sz w:val="22"/>
          <w:szCs w:val="22"/>
        </w:rPr>
        <w:t xml:space="preserve">Ayala-Burgos, A. J., &amp; Vázquez, E. (2016). Bloques Multinutricionales para suplementación estratégica del ganado rumiante. https://doi.org/10.13140/RG.2.2.22010.70086</w:t>
      </w:r>
    </w:p>
    <w:p>
      <w:pPr>
        <w:spacing w:after="60" w:before="60"/>
        <w:jc w:val="both"/>
      </w:pPr>
      <w:r>
        <w:rPr>
          <w:rFonts w:ascii="Arial" w:cs="Arial" w:eastAsia="Arial" w:hAnsi="Arial"/>
          <w:b w:val="false"/>
          <w:bCs w:val="false"/>
          <w:i w:val="false"/>
          <w:iCs w:val="false"/>
          <w:sz w:val="22"/>
          <w:szCs w:val="22"/>
        </w:rPr>
        <w:t xml:space="preserve">Banco Mundial. (2023). Bolivia: panorama general del sector agropecuario. https://www.bancomundial.org/es/country/bolivia</w:t>
      </w:r>
    </w:p>
    <w:p>
      <w:pPr>
        <w:spacing w:after="60" w:before="60"/>
        <w:jc w:val="both"/>
      </w:pPr>
      <w:r>
        <w:rPr>
          <w:rFonts w:ascii="Arial" w:cs="Arial" w:eastAsia="Arial" w:hAnsi="Arial"/>
          <w:b w:val="false"/>
          <w:bCs w:val="false"/>
          <w:i w:val="false"/>
          <w:iCs w:val="false"/>
          <w:sz w:val="22"/>
          <w:szCs w:val="22"/>
        </w:rPr>
        <w:t xml:space="preserve">Cooperativa Rural de Electrificación (CRE R.L.). (s.f.). Manual del Consumidor. https://www.cre.com.bo/wp-content/uploads/2019/12/ManualdelConsumidor-2-comprimido_compressed_reduce-min.pdf</w:t>
      </w:r>
    </w:p>
    <w:p>
      <w:pPr>
        <w:spacing w:after="60" w:before="60"/>
        <w:jc w:val="both"/>
      </w:pPr>
      <w:r>
        <w:rPr>
          <w:rFonts w:ascii="Arial" w:cs="Arial" w:eastAsia="Arial" w:hAnsi="Arial"/>
          <w:b w:val="false"/>
          <w:bCs w:val="false"/>
          <w:i w:val="false"/>
          <w:iCs w:val="false"/>
          <w:sz w:val="22"/>
          <w:szCs w:val="22"/>
        </w:rPr>
        <w:t xml:space="preserve">Diener, S., Zurbrügg, C., &amp; Tockner, K. (2009). Conversion of organic material by black soldier fly larvae: Establishing optimal feeding rates. Waste Management and Research, 27(6), 603–610. https://doi.org/10.1177/0734242X09103838</w:t>
      </w:r>
    </w:p>
    <w:p>
      <w:pPr>
        <w:spacing w:after="60" w:before="60"/>
        <w:jc w:val="both"/>
      </w:pPr>
      <w:r>
        <w:rPr>
          <w:rFonts w:ascii="Arial" w:cs="Arial" w:eastAsia="Arial" w:hAnsi="Arial"/>
          <w:b w:val="false"/>
          <w:bCs w:val="false"/>
          <w:i w:val="false"/>
          <w:iCs w:val="false"/>
          <w:sz w:val="22"/>
          <w:szCs w:val="22"/>
        </w:rPr>
        <w:t xml:space="preserve">FAO. (2021). Ganadería sostenible y cambio climático en América Latina. Organización de las Naciones Unidas para la Alimentación y la Agricultura. https://www.fao.org/americas/publicaciones</w:t>
      </w:r>
    </w:p>
    <w:p>
      <w:pPr>
        <w:spacing w:after="60" w:before="60"/>
        <w:jc w:val="both"/>
      </w:pPr>
      <w:r>
        <w:rPr>
          <w:rFonts w:ascii="Arial" w:cs="Arial" w:eastAsia="Arial" w:hAnsi="Arial"/>
          <w:b w:val="false"/>
          <w:bCs w:val="false"/>
          <w:i w:val="false"/>
          <w:iCs w:val="false"/>
          <w:sz w:val="22"/>
          <w:szCs w:val="22"/>
        </w:rPr>
        <w:t xml:space="preserve">INIAF. (2022). Manual de suplementación estratégica para ganado bovino en el Chaco boliviano. Instituto Nacional de Innovación Agropecuaria y Forestal.</w:t>
      </w:r>
    </w:p>
    <w:p>
      <w:pPr>
        <w:spacing w:after="60" w:before="60"/>
        <w:jc w:val="both"/>
      </w:pPr>
      <w:r>
        <w:rPr>
          <w:rFonts w:ascii="Arial" w:cs="Arial" w:eastAsia="Arial" w:hAnsi="Arial"/>
          <w:b w:val="false"/>
          <w:bCs w:val="false"/>
          <w:i w:val="false"/>
          <w:iCs w:val="false"/>
          <w:sz w:val="22"/>
          <w:szCs w:val="22"/>
        </w:rPr>
        <w:t xml:space="preserve">López-Hernández, D., &amp; Tomberlin, J. K. (2017). Black soldier fly larvae as a protein source for animal feed. Journal of Insects as Food and Feed, 3(2), 105–120. https://doi.org/10.3920/JIFF2016.0066</w:t>
      </w:r>
    </w:p>
    <w:p>
      <w:pPr>
        <w:spacing w:after="60" w:before="60"/>
        <w:jc w:val="both"/>
      </w:pPr>
      <w:r>
        <w:rPr>
          <w:rFonts w:ascii="Arial" w:cs="Arial" w:eastAsia="Arial" w:hAnsi="Arial"/>
          <w:b w:val="false"/>
          <w:bCs w:val="false"/>
          <w:i w:val="false"/>
          <w:iCs w:val="false"/>
          <w:sz w:val="22"/>
          <w:szCs w:val="22"/>
        </w:rPr>
        <w:t xml:space="preserve">Makkar, H. P. S., Tran, G., Heuzé, V., &amp; Ankers, P. (2014). State-of-the-art on use of insects as animal feed. Animal Feed Science and Technology, 197, 1–33. https://doi.org/10.1016/j.anifeedsci.2014.07.008</w:t>
      </w:r>
    </w:p>
    <w:p>
      <w:pPr>
        <w:spacing w:after="60" w:before="60"/>
        <w:jc w:val="both"/>
      </w:pPr>
      <w:r>
        <w:rPr>
          <w:rFonts w:ascii="Arial" w:cs="Arial" w:eastAsia="Arial" w:hAnsi="Arial"/>
          <w:b w:val="false"/>
          <w:bCs w:val="false"/>
          <w:i w:val="false"/>
          <w:iCs w:val="false"/>
          <w:sz w:val="22"/>
          <w:szCs w:val="22"/>
        </w:rPr>
        <w:t xml:space="preserve">Ministerio de Desarrollo Rural y Tierras. (2023). Estadísticas del sector ganadero boliviano. Estado Plurinacional de Bolivia.</w:t>
      </w:r>
    </w:p>
    <w:p>
      <w:pPr>
        <w:spacing w:after="60" w:before="60"/>
        <w:jc w:val="both"/>
      </w:pPr>
      <w:r>
        <w:rPr>
          <w:rFonts w:ascii="Arial" w:cs="Arial" w:eastAsia="Arial" w:hAnsi="Arial"/>
          <w:b w:val="false"/>
          <w:bCs w:val="false"/>
          <w:i w:val="false"/>
          <w:iCs w:val="false"/>
          <w:sz w:val="22"/>
          <w:szCs w:val="22"/>
        </w:rPr>
        <w:t xml:space="preserve">SENASAG. (2024). Normativa para la fabricación y comercialización de alimentos para animales. Servicio Nacional de Sanidad Agropecuaria e Inocuidad Alimentaria. https://www.senasag.gob.bo</w:t>
      </w:r>
    </w:p>
    <w:p>
      <w:pPr>
        <w:spacing w:after="60" w:before="60"/>
        <w:jc w:val="both"/>
      </w:pPr>
      <w:r>
        <w:rPr>
          <w:rFonts w:ascii="Arial" w:cs="Arial" w:eastAsia="Arial" w:hAnsi="Arial"/>
          <w:b w:val="false"/>
          <w:bCs w:val="false"/>
          <w:i w:val="false"/>
          <w:iCs w:val="false"/>
          <w:sz w:val="22"/>
          <w:szCs w:val="22"/>
        </w:rPr>
        <w:t xml:space="preserve">Tobón, S. (2017). Evaluación socioformativa: Estrategias e instrumentos. Kresearch. https://doi.org/10.24016/2017.v3n1.51</w:t>
      </w:r>
    </w:p>
    <w:p>
      <w:pPr>
        <w:spacing w:after="60" w:before="60"/>
        <w:jc w:val="both"/>
      </w:pPr>
      <w:r>
        <w:rPr>
          <w:rFonts w:ascii="Arial" w:cs="Arial" w:eastAsia="Arial" w:hAnsi="Arial"/>
          <w:b w:val="false"/>
          <w:bCs w:val="false"/>
          <w:i w:val="false"/>
          <w:iCs w:val="false"/>
          <w:sz w:val="22"/>
          <w:szCs w:val="22"/>
        </w:rPr>
        <w:t xml:space="preserve">Villanueva Pedraza, E., et al. (2023). Alternativa de bloques multinutricionales a base de subproductos agroindustriales para la suplementación de ganado lechero en pastoreo en la provincia del Alto Amazonas, Loreto. Journal of the Selva Andina Animal Science, 10(2), 88–95.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5E20"/>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D32"/>
      <w:sz w:val="24"/>
      <w:szCs w:val="24"/>
    </w:rPr>
  </w:style>
  <w:style w:type="paragraph" w:styleId="Heading3">
    <w:name w:val="Heading 3"/>
    <w:basedOn w:val="Normal"/>
    <w:next w:val="Normal"/>
    <w:qFormat/>
    <w:pPr>
      <w:spacing w:after="80" w:before="180"/>
      <w:outlineLvl w:val="2"/>
    </w:pPr>
    <w:rPr>
      <w:rFonts w:ascii="Arial" w:cs="Arial" w:eastAsia="Arial" w:hAnsi="Arial"/>
      <w:b/>
      <w:bCs/>
      <w:color w:val="388E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2026-04-08T04:57:45.527Z</dcterms:created>
  <dcterms:modified xsi:type="dcterms:W3CDTF">2026-04-08T04:57:45.528Z</dcterms:modified>
</cp:coreProperties>
</file>

<file path=docProps/custom.xml><?xml version="1.0" encoding="utf-8"?>
<Properties xmlns="http://schemas.openxmlformats.org/officeDocument/2006/custom-properties" xmlns:vt="http://schemas.openxmlformats.org/officeDocument/2006/docPropsVTypes"/>
</file>