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0094B5" w:val="clear"/>
            <w:tcBorders>
              <w:top w:val="single" w:sz="8" w:color="0094B5"/>
              <w:left w:val="single" w:sz="8" w:color="0094B5"/>
              <w:bottom w:val="single" w:sz="8" w:color="0094B5"/>
              <w:right w:val="single" w:sz="8" w:color="0094B5"/>
            </w:tcBorders>
          </w:tcPr>
          <w:p>
            <w:pPr>
              <w:spacing w:before="12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8428" cy="52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e-tdesk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28" cy="5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rFonts w:ascii="Arial" w:hAnsi="Arial" w:eastAsia="Arial"/>
                <w:b/>
                <w:color w:val="FFFFFF"/>
                <w:sz w:val="28"/>
              </w:rPr>
              <w:t>TDESK SOLUTIONS</w:t>
            </w:r>
          </w:p>
          <w:p>
            <w:pPr>
              <w:spacing w:before="40" w:after="120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Help desk e sistemas web para TI e operações</w:t>
            </w:r>
          </w:p>
        </w:tc>
        <w:tc>
          <w:tcPr>
            <w:tcW w:type="dxa" w:w="4989"/>
            <w:shd w:fill="0094B5" w:val="clear"/>
            <w:tcBorders>
              <w:top w:val="single" w:sz="8" w:color="0094B5"/>
              <w:left w:val="single" w:sz="8" w:color="0094B5"/>
              <w:bottom w:val="single" w:sz="8" w:color="0094B5"/>
              <w:right w:val="single" w:sz="8" w:color="0094B5"/>
            </w:tcBorders>
          </w:tcPr>
          <w:p>
            <w:pPr>
              <w:spacing w:before="200"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3"/>
              </w:rPr>
              <w:t>PROPOSTA COMERCIAL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FFFFFF"/>
                <w:sz w:val="19"/>
              </w:rPr>
              <w:t>Nº PROP-20261021-003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FFFFFF"/>
                <w:sz w:val="19"/>
              </w:rPr>
              <w:t>Data: 21/10/2026</w:t>
            </w:r>
          </w:p>
        </w:tc>
      </w:tr>
    </w:tbl>
    <w:p>
      <w:pPr>
        <w:spacing w:after="80" w:before="0" w:line="32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2F3437"/>
                <w:sz w:val="18"/>
              </w:rPr>
              <w:t>CLIENTE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2F3437"/>
                <w:sz w:val="18"/>
              </w:rPr>
              <w:t>FORNECEDOR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HexaVale</w:t>
              <w:br/>
              <w:t>Contato: Edson Pinto · Gerente</w:t>
              <w:br/>
              <w:t>E-mail: edsonpinto281@gmail.com</w:t>
              <w:br/>
              <w:t>Tel.: (74) 99940-4875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</w:tcPr>
          <w:p>
            <w:pPr>
              <w:spacing w:before="4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33108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e-tdesk-turques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08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/>
                <w:color w:val="0094B5"/>
                <w:sz w:val="22"/>
              </w:rPr>
              <w:t xml:space="preserve">  TDESK SOLUTIONS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9"/>
              </w:rPr>
              <w:t>Empresa de serviços em tecnologia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9"/>
              </w:rPr>
              <w:t>Help desk e sistemas web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9"/>
              </w:rPr>
              <w:t>E-mail: comercial@tdesksolutions.com.br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9"/>
              </w:rPr>
              <w:t>Site: tdesksolutions.com.br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9"/>
              </w:rPr>
              <w:t>Salvador/BA · Atendimento em todo o Brasil</w:t>
            </w:r>
          </w:p>
        </w:tc>
      </w:tr>
    </w:tbl>
    <w:p>
      <w:pPr>
        <w:spacing w:after="120" w:before="0" w:line="32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2F3437"/>
                <w:sz w:val="19"/>
              </w:rPr>
              <w:t>Validade da proposta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20/11/2026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2F3437"/>
                <w:sz w:val="19"/>
              </w:rPr>
              <w:t>Prazo de implantação estimado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15 dias úteis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2F3437"/>
                <w:sz w:val="19"/>
              </w:rPr>
              <w:t>Projeto proposto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HexaVale · ERP de estoque, operações e financeiro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1. Resumo Executivo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A TDesk Solutions apresenta esta proposta comercial para desenvolvimento e entrega do HexaVale · ERP agrícola de estoque para produtores de manga e uva: sistema web com acesso autenticado, controle de insumos por lote, operações de campo e módulo financeiro no mesmo painel.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O HexaVale reúne, em um único ambiente, dashboard com indicadores e gráficos, pedidos de compra, saldo e movimentações de estoque, cadastros da fazenda, ordens agrícolas, abastecimentos, manutenções, custo por talhão, auditoria, ordens de trabalho para impressão e a gestão financeira (contas a pagar e receber, fluxo de caixa, orçamento e bancos).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O escopo, entregáveis e condições comerciais descritos neste documento foram elaborados com base nas necessidades apresentadas pelo cliente e podem ser ajustados mediante alinhamento prévio entre as partes, formalizado em aditivo contratual quando necessário.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2. Sobre a TDesk Solutions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A TDesk Solutions é uma empresa brasileira especializada em serviços de tecnologia, com foco em help desk e desenvolvimento de sistemas web. Atuamos com a solução proprietária TDesk e com projetos sob medida · sites institucionais, landings e sistemas com escopo fechado em proposta comercial.</w:t>
      </w:r>
    </w:p>
    <w:p>
      <w:pPr>
        <w:spacing w:after="40" w:before="0" w:line="324" w:lineRule="auto"/>
      </w:pPr>
      <w:r>
        <w:rPr>
          <w:rFonts w:ascii="Arial" w:hAnsi="Arial" w:eastAsia="Arial"/>
          <w:b/>
          <w:color w:val="2F3437"/>
          <w:sz w:val="21"/>
        </w:rPr>
        <w:t>Diferenciais da nossa operação: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Primeira resposta comercial em até 1 dia útil (horário Brasil, Salvador/BA).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Escopo formalizado por escrito antes de qualquer cobrança de implantação.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Interface web responsiva, com menu lateral e uso em desktop ou celular.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Regras de estoque registradas em ledger, com auditoria das gravações.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Atendimento a operações em todo o território nacional.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3. Escopo da Solução Proposta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>Produto: HexaVale · ERP de estoque, operações e financeiro para manga e uva (escopo fechado)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23"/>
        </w:rPr>
        <w:t>3.1 Funcionalidades incluídas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Acesso web autenticado ao painel (/app), responsivo, com menu por grupos e busca.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Dashboard: valor do estoque, pedidos aguardando aprovação, ordens agrícolas abertas e alertas de estoque mínimo.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Gráficos ao vivo: movimentação de insumos (entradas × consumo) e custo por talhão, recalculados a cada lançamento — talhão novo entra no gráfico, com custo real ou aviso de “sem lançamentos”.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Estoque: saldo por produto/lote, entrada por NF, saída e situação Zerado / Abaixo do mínimo / OK.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Ledger (servidor): disponível = físico − reservado; lote vencido bloqueia o uso; conversão só na mesma grandeza (kg↔g, L↔mL); ajuste com motivo e contagem ≥ reservado; reservas e movimentações idempotentes (sem duplicar por reenvio).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Cadastros: fornecedores, produtos/insumos, talhões, máquinas e funcionários, com bloqueio de exclusão quando em uso.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Lançamentos: ordens agrícolas, abastecimentos e manutenções (OS); ordem concluída gera baixa de estoque uma única vez.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Relatórios: custo por talhão (insumos + combustível) e R$/ha, auditoria, CSV e ordens de trabalho imprimíveis (A4/PDF).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Financeiro (mesmo ERP): painel, movimentações, contas a pagar/receber com baixa, fluxo projetado, orçamento, centros de custo, bancos, transferências, financiamentos, relatórios e backup/restauração em JSON.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23"/>
        </w:rPr>
        <w:t>3.2 Implantação</w:t>
      </w:r>
    </w:p>
    <w:p>
      <w:pPr>
        <w:spacing w:after="4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A implantação estimada em 15 dias úteis compreende: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Reunião de kick-off e alinhamento da operação (estoque, talhões e financeiro).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Configuração do ambiente (Laravel/MySQL), dados iniciais e conferência dos módulos.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Aplicação da marca HexaVale e testes no desktop e no celular.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Treinamento remoto da equipe (sessão de até 2 horas).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Homologação assistida e entrega em produção.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23"/>
        </w:rPr>
        <w:t>3.3 Não incluído nesta proposta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Hospedagem em nuvem, domínio e certificado HTTPS (sob consulta).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Compras com NF-e/entrada fiscal (Fase 4) e ordens agrícolas completas no servidor (Fase 5) — mediante aditivo.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Conciliação bancária automática, integração com bancos, contabilidade ou irrigação (mediante aditivo).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Publicação nas lojas Apple App Store e Google Play (app nativo).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Login por SMS/passkeys completo ou migração de planilhas e sistemas legados (sob consulta separada).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Laudo agronômico ou receituário certificado; os cálculos do sistema são operacionais.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4. Entregáveis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Sistema HexaVale ERP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Painel web completo (dashboard a relatórios)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Módulo financeiro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Contas, fluxo, orçamento, bancos e backup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Ledger de estoque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Entradas, saídas, reservas e ajustes por lote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Identidade visual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Marca no painel, gráficos e impressão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Documentação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Requisitos, relatórios e ADRs do projeto</w:t>
            </w:r>
          </w:p>
        </w:tc>
      </w:tr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Treinamento e suporte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Sessão remota (até 2h) + 30 dias pós-entrega</w:t>
            </w:r>
          </w:p>
        </w:tc>
      </w:tr>
    </w:tbl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5. Investimento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Os valores abaixo são expressos em reais (BRL) e referem-se à atividade de desenvolvimento e entrega do HexaVale ERP, em escopo fechado. Condições de pagamento serão formalizadas em contrato.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HexaVale ERP · desenvolvimento e entrega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R$ ____________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Única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Implantação, marca e homologação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Incluso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Única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Treinamento remoto (até 2h)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Incluso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Única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Suporte por 30 dias após a entrega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Incluso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Única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Hospedagem e evoluções posteriores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Sob consulta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·</w:t>
            </w:r>
          </w:p>
        </w:tc>
      </w:tr>
    </w:tbl>
    <w:p>
      <w:pPr>
        <w:spacing w:after="80" w:before="0" w:line="324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F2F9FB" w:val="clear"/>
            <w:tcBorders>
              <w:top w:val="single" w:sz="18" w:color="0094B5"/>
              <w:left w:val="single" w:sz="18" w:color="0094B5"/>
              <w:bottom w:val="single" w:sz="18" w:color="0094B5"/>
              <w:right w:val="single" w:sz="18" w:color="0094B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0094B5"/>
                <w:sz w:val="23"/>
              </w:rPr>
              <w:t>Investimento da atividade: R$ ____________</w:t>
            </w:r>
          </w:p>
        </w:tc>
      </w:tr>
    </w:tbl>
    <w:p>
      <w:pPr>
        <w:spacing w:after="40" w:before="160" w:line="324" w:lineRule="auto"/>
      </w:pPr>
      <w:r>
        <w:rPr>
          <w:rFonts w:ascii="Arial" w:hAnsi="Arial" w:eastAsia="Arial"/>
          <w:b/>
          <w:color w:val="2F3437"/>
          <w:sz w:val="21"/>
        </w:rPr>
        <w:t>Condições de pagamento sugeridas: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Atividade de escopo fechado, valor único de R$ ____________, sem mensalidade nesta proposta.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Pagamento via PIX ou boleto: 50% na assinatura e 50% na homologação, ou 100% na assinatura.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Vencimento em até 10 dias após a emissão do faturamento.</w:t>
      </w:r>
    </w:p>
    <w:p>
      <w:pPr>
        <w:pStyle w:val="ListBullet"/>
        <w:spacing w:after="40" w:before="0"/>
      </w:pPr>
      <w:r>
        <w:rPr>
          <w:rFonts w:ascii="Arial" w:hAnsi="Arial" w:eastAsia="Arial"/>
          <w:b w:val="0"/>
          <w:color w:val="2F3437"/>
          <w:sz w:val="20"/>
        </w:rPr>
        <w:t>Itens fora do escopo somente com aditivo.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6. Cronograma de Implantação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O cronograma abaixo é estimativo e depende da disponibilidade do cliente para validações e aprovações em cada etapa. Atrasos por parte do cliente podem impactar os prazos acordados.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0094B5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1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Assinatura do contrato e kick-off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D+0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2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Ambiente, marca e cadastros-base da fazenda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D+1 a D+5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3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Conferência de estoque, financeiro, gráficos e relatórios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D+6 a D+10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4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Treinamento e homologação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D+11 a D+13</w:t>
            </w:r>
          </w:p>
        </w:tc>
      </w:tr>
      <w:tr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5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Entrega e acompanhamento inicial</w:t>
            </w:r>
          </w:p>
        </w:tc>
        <w:tc>
          <w:tcPr>
            <w:tcW w:type="dxa" w:w="3326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  <w:vAlign w:val="center"/>
            <w:shd w:fill="E9F5F8" w:val="clear"/>
          </w:tcPr>
          <w:p>
            <w:pPr>
              <w:spacing w:before="40" w:after="40"/>
            </w:pPr>
            <w:r/>
            <w:r>
              <w:rPr>
                <w:rFonts w:ascii="Arial" w:hAnsi="Arial" w:eastAsia="Arial"/>
                <w:b w:val="0"/>
                <w:color w:val="2F3437"/>
                <w:sz w:val="19"/>
              </w:rPr>
              <w:t>D+14 a D+15</w:t>
            </w:r>
          </w:p>
        </w:tc>
      </w:tr>
    </w:tbl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7. Termos e Condições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7.1 Validade. </w:t>
      </w:r>
      <w:r>
        <w:rPr>
          <w:rFonts w:ascii="Arial" w:hAnsi="Arial" w:eastAsia="Arial"/>
          <w:b w:val="0"/>
          <w:color w:val="2F3437"/>
          <w:sz w:val="21"/>
        </w:rPr>
        <w:t>Esta proposta é válida por 30 dias a contar da data de emissão. Após esse período, valores e condições poderão ser revistos pela TDesk Solutions.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7.2 Confidencialidade. </w:t>
      </w:r>
      <w:r>
        <w:rPr>
          <w:rFonts w:ascii="Arial" w:hAnsi="Arial" w:eastAsia="Arial"/>
          <w:b w:val="0"/>
          <w:color w:val="2F3437"/>
          <w:sz w:val="21"/>
        </w:rPr>
        <w:t>As informações trocadas entre as partes no âmbito desta proposta e da eventual contratação serão tratadas como confidenciais, em conformidade com a legislação aplicável, incluindo a LGPD (Lei nº 13.709/2018). Os dados operacionais lançados no sistema seguem a política de privacidade acordada na implantação.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7.3 Propriedade intelectual. </w:t>
      </w:r>
      <w:r>
        <w:rPr>
          <w:rFonts w:ascii="Arial" w:hAnsi="Arial" w:eastAsia="Arial"/>
          <w:b w:val="0"/>
          <w:color w:val="2F3437"/>
          <w:sz w:val="21"/>
        </w:rPr>
        <w:t>O sistema HexaVale, na versão entregue ao cliente neste escopo, destina-se ao uso da operação contratante. Componentes, métodos e bibliotecas reutilizáveis da TDesk Solutions permanecem de sua titularidade. A marca HexaVale fornecida pelo cliente é de titularidade do cliente.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7.4 Disponibilidade. </w:t>
      </w:r>
      <w:r>
        <w:rPr>
          <w:rFonts w:ascii="Arial" w:hAnsi="Arial" w:eastAsia="Arial"/>
          <w:b w:val="0"/>
          <w:color w:val="2F3437"/>
          <w:sz w:val="21"/>
        </w:rPr>
        <w:t>O HexaVale opera como sistema web no ambiente contratado na entrega. A disponibilidade depende da infraestrutura combinada entre as partes. Manutenções programadas serão comunicadas com antecedência mínima de 48 horas.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7.5 Rescisão. </w:t>
      </w:r>
      <w:r>
        <w:rPr>
          <w:rFonts w:ascii="Arial" w:hAnsi="Arial" w:eastAsia="Arial"/>
          <w:b w:val="0"/>
          <w:color w:val="2F3437"/>
          <w:sz w:val="21"/>
        </w:rPr>
        <w:t>Qualquer das partes poderá rescindir o contrato mediante aviso prévio de 15 dias, respeitadas as obrigações financeiras do período já faturado e o pagamento da atividade eventualmente já executada.</w:t>
      </w:r>
    </w:p>
    <w:p>
      <w:pPr>
        <w:spacing w:after="120" w:before="0" w:line="324" w:lineRule="auto"/>
      </w:pPr>
      <w:r>
        <w:rPr>
          <w:rFonts w:ascii="Arial" w:hAnsi="Arial" w:eastAsia="Arial"/>
          <w:b/>
          <w:color w:val="2F3437"/>
          <w:sz w:val="21"/>
        </w:rPr>
        <w:t xml:space="preserve">7.6 Foro. </w:t>
      </w:r>
      <w:r>
        <w:rPr>
          <w:rFonts w:ascii="Arial" w:hAnsi="Arial" w:eastAsia="Arial"/>
          <w:b w:val="0"/>
          <w:color w:val="2F3437"/>
          <w:sz w:val="21"/>
        </w:rPr>
        <w:t>Fica eleito o foro da comarca de Salvador/BA para dirimir quaisquer controvérsias decorrentes desta proposta e do contrato dela decorrente.</w:t>
      </w:r>
    </w:p>
    <w:p>
      <w:pPr>
        <w:spacing w:after="80" w:before="200" w:line="324" w:lineRule="auto"/>
      </w:pPr>
      <w:r>
        <w:rPr>
          <w:rFonts w:ascii="Arial" w:hAnsi="Arial" w:eastAsia="Arial"/>
          <w:b/>
          <w:color w:val="0094B5"/>
          <w:sz w:val="30"/>
        </w:rPr>
        <w:t>8. Aceite da Proposta</w:t>
      </w:r>
    </w:p>
    <w:p>
      <w:pPr>
        <w:spacing w:after="120" w:before="0" w:line="324" w:lineRule="auto"/>
      </w:pPr>
      <w:r>
        <w:rPr>
          <w:rFonts w:ascii="Arial" w:hAnsi="Arial" w:eastAsia="Arial"/>
          <w:b w:val="0"/>
          <w:color w:val="2F3437"/>
          <w:sz w:val="21"/>
        </w:rPr>
        <w:t>A assinatura deste documento pelas partes representa concordância com os termos, escopo e valores aqui descritos, servindo como base para formalização do contrato de prestação de serviços para o projeto HexaVale ERP, no valor de R$ ____________ pela atividade.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color w:val="2F3437"/>
                <w:sz w:val="21"/>
              </w:rPr>
              <w:t>TDesk Solutions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8"/>
              </w:rPr>
              <w:br/>
              <w:br/>
              <w:br/>
              <w:t>______________________________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Assinatura do representante legal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Nome e cargo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Data: ____ / ____ / ________</w:t>
            </w:r>
          </w:p>
        </w:tc>
        <w:tc>
          <w:tcPr>
            <w:tcW w:type="dxa" w:w="4989"/>
            <w:tcBorders>
              <w:top w:val="single" w:sz="8" w:color="C9D8DC"/>
              <w:left w:val="single" w:sz="8" w:color="C9D8DC"/>
              <w:bottom w:val="single" w:sz="8" w:color="C9D8DC"/>
              <w:right w:val="single" w:sz="8" w:color="C9D8DC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color w:val="2F3437"/>
                <w:sz w:val="21"/>
              </w:rPr>
              <w:t>HexaVale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8"/>
              </w:rPr>
              <w:br/>
              <w:br/>
              <w:br/>
              <w:t>______________________________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Assinatura do representante legal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Nome e cargo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2F3437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B757A"/>
                <w:sz w:val="18"/>
              </w:rPr>
              <w:t>Data: ____ / ____ / ________</w:t>
            </w:r>
          </w:p>
        </w:tc>
      </w:tr>
    </w:tbl>
    <w:p>
      <w:pPr>
        <w:spacing w:after="120" w:before="200" w:line="324" w:lineRule="auto"/>
      </w:pPr>
      <w:r>
        <w:rPr>
          <w:rFonts w:ascii="Arial" w:hAnsi="Arial" w:eastAsia="Arial"/>
          <w:b w:val="0"/>
          <w:color w:val="2F3437"/>
          <w:sz w:val="20"/>
        </w:rPr>
        <w:t>Dúvidas? Entre em contato: comercial@tdesksolutions.com.br | tdesksolutions.com.br · Resposta em até 1 dia útil.</w:t>
      </w:r>
    </w:p>
    <w:p>
      <w:pPr>
        <w:spacing w:after="120" w:before="240" w:line="324" w:lineRule="auto"/>
        <w:jc w:val="center"/>
      </w:pPr>
      <w:r>
        <w:rPr>
          <w:rFonts w:ascii="Arial" w:hAnsi="Arial" w:eastAsia="Arial"/>
          <w:b w:val="0"/>
          <w:color w:val="8A9599"/>
          <w:sz w:val="16"/>
        </w:rPr>
        <w:t>tdesksolutions.com.br | comercial@tdesksolutions.com.br | Salvador/BA · Brasil</w:t>
      </w:r>
    </w:p>
    <w:sectPr w:rsidR="00FC693F" w:rsidRPr="0006063C" w:rsidSect="00034616">
      <w:pgSz w:w="11906" w:h="16838"/>
      <w:pgMar w:top="79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