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3: Comparisons with other study classifications</w:t>
      </w:r>
    </w:p>
    <w:p>
      <w:pPr>
        <w:pStyle w:val="Date"/>
        <w:keepNext w:val="true"/>
        <w:keepLines/>
        <w:widowControl/>
        <w:bidi w:val="0"/>
        <w:spacing w:before="0" w:after="220"/>
        <w:jc w:val="center"/>
        <w:rPr/>
      </w:pPr>
      <w:r>
        <w:rPr/>
        <w:t>2026-10-21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2026-10-21T18:56:23Z</dcterms:created>
  <dc:creator/>
  <dc:description/>
  <dc:language>en-US</dc:language>
  <cp:lastModifiedBy/>
  <dcterms:modified xsi:type="dcterms:W3CDTF">2026-10-21T18:56:23Z</dcterms:modified>
  <cp:revision>0</cp:revision>
  <dc:subject/>
  <dc:title>Appendix 3: Comparisons with other study classifications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2026-10-21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