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Two HRS Core cognitive classification methods informed by HRS/HCAP</w:t>
      </w:r>
    </w:p>
    <w:p>
      <w:pPr>
        <w:pStyle w:val="Author"/>
        <w:rPr/>
      </w:pPr>
      <w:r>
        <w:rPr/>
        <w:t>Richard N. Jones</w:t>
      </w:r>
    </w:p>
    <w:p>
      <w:pPr>
        <w:pStyle w:val="Author"/>
        <w:rPr/>
      </w:pPr>
      <w:r>
        <w:rPr/>
        <w:t>Jennifer J. Manly</w:t>
      </w:r>
    </w:p>
    <w:p>
      <w:pPr>
        <w:pStyle w:val="Author"/>
        <w:rPr/>
      </w:pPr>
      <w:r>
        <w:rPr/>
        <w:t>Douglas Tommet</w:t>
      </w:r>
    </w:p>
    <w:p>
      <w:pPr>
        <w:pStyle w:val="Author"/>
        <w:rPr/>
      </w:pPr>
      <w:r>
        <w:rPr/>
        <w:t>Lindsay Kobayashi</w:t>
      </w:r>
    </w:p>
    <w:p>
      <w:pPr>
        <w:pStyle w:val="Author"/>
        <w:rPr/>
      </w:pPr>
      <w:r>
        <w:rPr/>
        <w:t>Lindsay H. Ryan</w:t>
      </w:r>
    </w:p>
    <w:p>
      <w:pPr>
        <w:pStyle w:val="Author"/>
        <w:rPr/>
      </w:pPr>
      <w:r>
        <w:rPr/>
        <w:t>Ryan J. McCammon</w:t>
      </w:r>
    </w:p>
    <w:p>
      <w:pPr>
        <w:pStyle w:val="Author"/>
        <w:rPr/>
      </w:pPr>
      <w:r>
        <w:rPr/>
        <w:t>Steven G. Heeringa</w:t>
      </w:r>
    </w:p>
    <w:p>
      <w:pPr>
        <w:pStyle w:val="Author"/>
        <w:rPr/>
      </w:pPr>
      <w:r>
        <w:rPr/>
        <w:t>David Weir</w:t>
      </w:r>
    </w:p>
    <w:p>
      <w:pPr>
        <w:pStyle w:val="Author"/>
        <w:rPr/>
      </w:pPr>
      <w:r>
        <w:rPr/>
        <w:t>Kenneth M. Langa</w:t>
      </w:r>
    </w:p>
    <w:p>
      <w:pPr>
        <w:pStyle w:val="Date"/>
        <w:rPr/>
      </w:pPr>
      <w:r>
        <w:rPr/>
        <w:t>2026-09-23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bookmarkStart w:id="0" w:name="abstract"/>
      <w:r>
        <w:rPr/>
        <w:t>Abstract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Importance:</w:t>
      </w:r>
      <w:r>
        <w:rPr/>
        <w:t xml:space="preserve"> population cognitive classification in HRS Core; dementia and MCI surveillance; limited assessment battery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Objective:</w:t>
      </w:r>
      <w:r>
        <w:rPr/>
        <w:t xml:space="preserve"> describe two HRS Core methods calibrated to HRS/HCAP (Core algorithm, PMM); compare with the HRS/HCAP Algorithm, consensus, Langa-Weir, and Hudomiet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Design:</w:t>
      </w:r>
      <w:r>
        <w:rPr/>
        <w:t xml:space="preserve"> 2016 HRS Core classification in HRS/HCAP participants; consensus-panel secondary comparator</w:t>
      </w:r>
    </w:p>
    <w:p>
      <w:pPr>
        <w:pStyle w:val="Compact"/>
        <w:numPr>
          <w:ilvl w:val="1"/>
          <w:numId w:val="1"/>
        </w:numPr>
        <w:rPr/>
      </w:pPr>
      <w:r>
        <w:rPr/>
        <w:t>Study sample: HRS/HCAP 2016 participants, N = 3,496</w:t>
      </w:r>
    </w:p>
    <w:p>
      <w:pPr>
        <w:pStyle w:val="Compact"/>
        <w:numPr>
          <w:ilvl w:val="1"/>
          <w:numId w:val="1"/>
        </w:numPr>
        <w:rPr/>
      </w:pPr>
      <w:r>
        <w:rPr/>
        <w:t>[Provenance: R/MS_MAIN/MS_001_analysis_cohort.R]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Methods:</w:t>
      </w:r>
      <w:r>
        <w:rPr/>
        <w:t xml:space="preserve"> Core algorithm; PMM</w:t>
      </w:r>
    </w:p>
    <w:p>
      <w:pPr>
        <w:pStyle w:val="Compact"/>
        <w:numPr>
          <w:ilvl w:val="1"/>
          <w:numId w:val="1"/>
        </w:numPr>
        <w:rPr/>
      </w:pPr>
      <w:r>
        <w:rPr/>
        <w:t>Primary comparator: HRS/HCAP Algorithm</w:t>
      </w:r>
    </w:p>
    <w:p>
      <w:pPr>
        <w:pStyle w:val="Compact"/>
        <w:numPr>
          <w:ilvl w:val="1"/>
          <w:numId w:val="1"/>
        </w:numPr>
        <w:rPr/>
      </w:pPr>
      <w:r>
        <w:rPr/>
        <w:t>Secondary comparators: (1) HCAP consensus; (2) Langa-Weir; (3) Hudomiet classification</w:t>
      </w:r>
    </w:p>
    <w:p>
      <w:pPr>
        <w:pStyle w:val="Compact"/>
        <w:numPr>
          <w:ilvl w:val="1"/>
          <w:numId w:val="1"/>
        </w:numPr>
        <w:rPr/>
      </w:pPr>
      <w:r>
        <w:rPr/>
        <w:t>Statistical analysis: dementia versus non-dementia kappa; 3-class quadratic weighted kappa (Normal, MCI, Dementia); all statistics other than frequencies use complex sampling weights</w:t>
      </w:r>
    </w:p>
    <w:p>
      <w:pPr>
        <w:pStyle w:val="Compact"/>
        <w:numPr>
          <w:ilvl w:val="1"/>
          <w:numId w:val="1"/>
        </w:numPr>
        <w:rPr/>
      </w:pPr>
      <w:r>
        <w:rPr/>
        <w:t>[Provenance: R/MS_MAIN/MS_010_results_objects.R]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Results:</w:t>
      </w:r>
    </w:p>
    <w:p>
      <w:pPr>
        <w:pStyle w:val="Compact"/>
        <w:numPr>
          <w:ilvl w:val="1"/>
          <w:numId w:val="1"/>
        </w:numPr>
        <w:rPr/>
      </w:pPr>
      <w:r>
        <w:rPr/>
        <w:t>Dementia/non-dementia kappa</w:t>
      </w:r>
    </w:p>
    <w:p>
      <w:pPr>
        <w:pStyle w:val="Compact"/>
        <w:numPr>
          <w:ilvl w:val="2"/>
          <w:numId w:val="1"/>
        </w:numPr>
        <w:rPr/>
      </w:pPr>
      <w:r>
        <w:rPr/>
        <w:t>Core algorithm versus HRS/HCAP Algorithm: 0.352</w:t>
      </w:r>
    </w:p>
    <w:p>
      <w:pPr>
        <w:pStyle w:val="Compact"/>
        <w:numPr>
          <w:ilvl w:val="2"/>
          <w:numId w:val="1"/>
        </w:numPr>
        <w:rPr/>
      </w:pPr>
      <w:r>
        <w:rPr/>
        <w:t>PMM versus HRS/HCAP Algorithm: 0.437</w:t>
      </w:r>
    </w:p>
    <w:p>
      <w:pPr>
        <w:pStyle w:val="Compact"/>
        <w:numPr>
          <w:ilvl w:val="1"/>
          <w:numId w:val="1"/>
        </w:numPr>
        <w:rPr/>
      </w:pPr>
      <w:r>
        <w:rPr/>
        <w:t>3-class kappa</w:t>
      </w:r>
    </w:p>
    <w:p>
      <w:pPr>
        <w:pStyle w:val="Compact"/>
        <w:numPr>
          <w:ilvl w:val="2"/>
          <w:numId w:val="1"/>
        </w:numPr>
        <w:rPr/>
      </w:pPr>
      <w:r>
        <w:rPr/>
        <w:t>Core algorithm versus HRS/HCAP Algorithm: 0.505</w:t>
      </w:r>
    </w:p>
    <w:p>
      <w:pPr>
        <w:pStyle w:val="Compact"/>
        <w:numPr>
          <w:ilvl w:val="2"/>
          <w:numId w:val="1"/>
        </w:numPr>
        <w:rPr/>
      </w:pPr>
      <w:r>
        <w:rPr/>
        <w:t>PMM versus HRS/HCAP Algorithm: 0.509</w:t>
      </w:r>
    </w:p>
    <w:p>
      <w:pPr>
        <w:pStyle w:val="Compact"/>
        <w:numPr>
          <w:ilvl w:val="1"/>
          <w:numId w:val="1"/>
        </w:numPr>
        <w:rPr/>
      </w:pPr>
      <w:r>
        <w:rPr/>
        <w:t>[Provenance: R_objects/A7_100_hcap_tables.rds; R/PMM_110_Comparison_of_Consensus_Langa_Weir.R]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Conclusions and relevance:</w:t>
      </w:r>
      <w:r>
        <w:rPr/>
        <w:t xml:space="preserve"> Two core classification approaches; agreement evidence rather than clinical validation; uncertainty in distinguishing MCI from normal cognition and dementia; limited precision of comparisons with consensus diagnoses because the consensus-panel subsample is small</w:t>
      </w:r>
    </w:p>
    <w:p>
      <w:pPr>
        <w:pStyle w:val="Compact"/>
        <w:numPr>
          <w:ilvl w:val="1"/>
          <w:numId w:val="1"/>
        </w:numPr>
        <w:rPr/>
      </w:pPr>
      <w:r>
        <w:rPr/>
        <w:t>[Provenance: analysis design; inference]</w:t>
      </w:r>
    </w:p>
    <w:p>
      <w:pPr>
        <w:pStyle w:val="FirstParagraph"/>
        <w:rPr/>
      </w:pPr>
      <w:r>
        <w:rPr>
          <w:b/>
          <w:bCs/>
        </w:rPr>
        <w:t>Key terms</w:t>
      </w:r>
    </w:p>
    <w:p>
      <w:pPr>
        <w:pStyle w:val="Normal"/>
        <w:numPr>
          <w:ilvl w:val="0"/>
          <w:numId w:val="1"/>
        </w:numPr>
        <w:rPr/>
      </w:pPr>
      <w:r>
        <w:rPr>
          <w:b/>
          <w:bCs/>
        </w:rPr>
        <w:t>HRS/HCAP Algorithm</w:t>
      </w:r>
      <w:r>
        <w:rPr/>
        <w:t>: c.f. Manly, Jones et al. (2022)</w:t>
      </w:r>
    </w:p>
    <w:p>
      <w:pPr>
        <w:pStyle w:val="Normal"/>
        <w:numPr>
          <w:ilvl w:val="0"/>
          <w:numId w:val="1"/>
        </w:numPr>
        <w:rPr/>
      </w:pPr>
      <w:r>
        <w:rPr>
          <w:b/>
          <w:bCs/>
        </w:rPr>
        <w:t>Core algorithm</w:t>
      </w:r>
      <w:r>
        <w:rPr/>
        <w:t>: HCAP algorithm adapted to the HRS Core data</w:t>
      </w:r>
    </w:p>
    <w:p>
      <w:pPr>
        <w:pStyle w:val="Normal"/>
        <w:numPr>
          <w:ilvl w:val="0"/>
          <w:numId w:val="1"/>
        </w:numPr>
        <w:rPr/>
      </w:pPr>
      <w:r>
        <w:rPr>
          <w:b/>
          <w:bCs/>
        </w:rPr>
        <w:t>PMM</w:t>
      </w:r>
      <w:r>
        <w:rPr/>
        <w:t>: Profile mixture model applied to data collected in the HRS Core with prediction calibrated using the HRS/HCAP sample and applied to the core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spacing w:before="0" w:after="120"/>
        <w:rPr/>
      </w:pPr>
      <w:bookmarkStart w:id="1" w:name="introduction"/>
      <w:r>
        <w:rPr/>
        <w:t>Introduction</w:t>
      </w:r>
    </w:p>
    <w:p>
      <w:pPr>
        <w:pStyle w:val="Compact"/>
        <w:numPr>
          <w:ilvl w:val="0"/>
          <w:numId w:val="1"/>
        </w:numPr>
        <w:rPr/>
      </w:pPr>
      <w:r>
        <w:rPr/>
        <w:t>Population cognitive classification from brief HRS Core assessments</w:t>
      </w:r>
    </w:p>
    <w:p>
      <w:pPr>
        <w:pStyle w:val="Compact"/>
        <w:numPr>
          <w:ilvl w:val="1"/>
          <w:numId w:val="1"/>
        </w:numPr>
        <w:rPr/>
      </w:pPr>
      <w:r>
        <w:rPr/>
        <w:t>Prevalence estimation; etiologic research; trial sampling; policy surveillance</w:t>
      </w:r>
    </w:p>
    <w:p>
      <w:pPr>
        <w:pStyle w:val="Compact"/>
        <w:numPr>
          <w:ilvl w:val="1"/>
          <w:numId w:val="1"/>
        </w:numPr>
        <w:rPr/>
      </w:pPr>
      <w:r>
        <w:rPr/>
        <w:t>Core assessment constraints; incomplete cognitive testing; proxy/informant information</w:t>
      </w:r>
    </w:p>
    <w:p>
      <w:pPr>
        <w:pStyle w:val="Compact"/>
        <w:numPr>
          <w:ilvl w:val="0"/>
          <w:numId w:val="1"/>
        </w:numPr>
        <w:rPr/>
      </w:pPr>
      <w:r>
        <w:rPr/>
        <w:t>HRS/HCAP Algorithm as primary comparator</w:t>
      </w:r>
    </w:p>
    <w:p>
      <w:pPr>
        <w:pStyle w:val="Compact"/>
        <w:numPr>
          <w:ilvl w:val="1"/>
          <w:numId w:val="1"/>
        </w:numPr>
        <w:rPr/>
      </w:pPr>
      <w:r>
        <w:rPr/>
        <w:t>HCAP neuropsychological assessment; actuarial Normal/MCI/Dementia classification</w:t>
      </w:r>
    </w:p>
    <w:p>
      <w:pPr>
        <w:pStyle w:val="Compact"/>
        <w:numPr>
          <w:ilvl w:val="1"/>
          <w:numId w:val="1"/>
        </w:numPr>
        <w:rPr/>
      </w:pPr>
      <w:r>
        <w:rPr/>
        <w:t>HRS/HCAP Algorithm; primary HCAP-based comparator</w:t>
      </w:r>
    </w:p>
    <w:p>
      <w:pPr>
        <w:pStyle w:val="Compact"/>
        <w:numPr>
          <w:ilvl w:val="1"/>
          <w:numId w:val="1"/>
        </w:numPr>
        <w:rPr/>
      </w:pPr>
      <w:r>
        <w:rPr/>
        <w:t>Manly et al. (2022); Farron et al. (2025)</w:t>
      </w:r>
    </w:p>
    <w:p>
      <w:pPr>
        <w:pStyle w:val="Compact"/>
        <w:numPr>
          <w:ilvl w:val="1"/>
          <w:numId w:val="1"/>
        </w:numPr>
        <w:rPr/>
      </w:pPr>
      <w:r>
        <w:rPr/>
        <w:t>[Provenance: R/A7_100-comparison_of_diagnoses.R; existing manuscript materials]</w:t>
      </w:r>
    </w:p>
    <w:p>
      <w:pPr>
        <w:pStyle w:val="Compact"/>
        <w:numPr>
          <w:ilvl w:val="0"/>
          <w:numId w:val="1"/>
        </w:numPr>
        <w:rPr/>
      </w:pPr>
      <w:r>
        <w:rPr/>
        <w:t>Study aim</w:t>
      </w:r>
    </w:p>
    <w:p>
      <w:pPr>
        <w:pStyle w:val="Compact"/>
        <w:numPr>
          <w:ilvl w:val="1"/>
          <w:numId w:val="1"/>
        </w:numPr>
        <w:rPr/>
      </w:pPr>
      <w:r>
        <w:rPr/>
        <w:t>Core algorithm and PMM; HRS/HCAP Algorithm primary comparator</w:t>
      </w:r>
    </w:p>
    <w:p>
      <w:pPr>
        <w:pStyle w:val="Compact"/>
        <w:numPr>
          <w:ilvl w:val="1"/>
          <w:numId w:val="1"/>
        </w:numPr>
        <w:rPr/>
      </w:pPr>
      <w:r>
        <w:rPr/>
        <w:t>Secondary comparators: HCAP consensus; Langa-Weir; Hudomiet</w:t>
      </w:r>
    </w:p>
    <w:p>
      <w:pPr>
        <w:pStyle w:val="Compact"/>
        <w:numPr>
          <w:ilvl w:val="1"/>
          <w:numId w:val="1"/>
        </w:numPr>
        <w:rPr/>
      </w:pPr>
      <w:r>
        <w:rPr/>
        <w:t>Classification margins; 3-class agreement; dementia/non-dementia agreement</w:t>
      </w:r>
      <w:bookmarkEnd w:id="1"/>
    </w:p>
    <w:p>
      <w:pPr>
        <w:pStyle w:val="Heading2"/>
        <w:rPr/>
      </w:pPr>
      <w:bookmarkStart w:id="2" w:name="methods"/>
      <w:r>
        <w:rPr/>
        <w:t>Methods</w:t>
      </w:r>
    </w:p>
    <w:p>
      <w:pPr>
        <w:pStyle w:val="Heading3"/>
        <w:rPr/>
      </w:pPr>
      <w:bookmarkStart w:id="3" w:name="design-and-analytic-samples"/>
      <w:r>
        <w:rPr/>
        <w:t>Design and analytic samples</w:t>
      </w:r>
    </w:p>
    <w:p>
      <w:pPr>
        <w:pStyle w:val="Compact"/>
        <w:numPr>
          <w:ilvl w:val="0"/>
          <w:numId w:val="1"/>
        </w:numPr>
        <w:rPr/>
      </w:pPr>
      <w:r>
        <w:rPr/>
        <w:t>Study sample: HRS/HCAP 2016 participants, N = 3,496</w:t>
      </w:r>
    </w:p>
    <w:p>
      <w:pPr>
        <w:pStyle w:val="Compact"/>
        <w:numPr>
          <w:ilvl w:val="1"/>
          <w:numId w:val="1"/>
        </w:numPr>
        <w:rPr/>
      </w:pPr>
      <w:r>
        <w:rPr/>
        <w:t>All HCAP participants; no Core cognitive-test requirement</w:t>
      </w:r>
    </w:p>
    <w:p>
      <w:pPr>
        <w:pStyle w:val="Compact"/>
        <w:numPr>
          <w:ilvl w:val="1"/>
          <w:numId w:val="1"/>
        </w:numPr>
        <w:rPr/>
      </w:pPr>
      <w:r>
        <w:rPr/>
        <w:t>Participants without Core cognitive testing classified from informant data (Jorm IQCODE): Core algorithm Jorm fallback; PMM Jorm model</w:t>
      </w:r>
    </w:p>
    <w:p>
      <w:pPr>
        <w:pStyle w:val="Compact"/>
        <w:numPr>
          <w:ilvl w:val="1"/>
          <w:numId w:val="1"/>
        </w:numPr>
        <w:rPr/>
      </w:pPr>
      <w:r>
        <w:rPr/>
        <w:t>Agreement-statistic samples: Core algorithm N = 3,496; PMM N = 3,496</w:t>
      </w:r>
    </w:p>
    <w:p>
      <w:pPr>
        <w:pStyle w:val="Compact"/>
        <w:numPr>
          <w:ilvl w:val="1"/>
          <w:numId w:val="1"/>
        </w:numPr>
        <w:rPr/>
      </w:pPr>
      <w:r>
        <w:rPr/>
        <w:t>[Provenance: R/MS_MAIN/MS_001_analysis_cohort.R; R_objects/A7_005_hrs16_merged.rds; R/A7_100-comparison_of_diagnoses.R; R/PMM_110_Comparison_of_Consensus_Langa_Weir.R]</w:t>
      </w:r>
    </w:p>
    <w:p>
      <w:pPr>
        <w:pStyle w:val="Compact"/>
        <w:numPr>
          <w:ilvl w:val="0"/>
          <w:numId w:val="1"/>
        </w:numPr>
        <w:rPr/>
      </w:pPr>
      <w:r>
        <w:rPr/>
        <w:t>Consensus panel subset</w:t>
      </w:r>
    </w:p>
    <w:p>
      <w:pPr>
        <w:pStyle w:val="Compact"/>
        <w:numPr>
          <w:ilvl w:val="1"/>
          <w:numId w:val="1"/>
        </w:numPr>
        <w:rPr/>
      </w:pPr>
      <w:r>
        <w:rPr/>
        <w:t>Validation-subsample design; inverse-probability weighting to account for selection into the consensus panel</w:t>
      </w:r>
    </w:p>
    <w:p>
      <w:pPr>
        <w:pStyle w:val="Compact"/>
        <w:numPr>
          <w:ilvl w:val="1"/>
          <w:numId w:val="1"/>
        </w:numPr>
        <w:rPr/>
      </w:pPr>
      <w:r>
        <w:rPr/>
        <w:t>[Provenance: R/A7_100-comparison_of_diagnoses.R; R/PMM_110_Comparison_of_Consensus_Langa_Weir.R]</w:t>
      </w:r>
      <w:bookmarkEnd w:id="3"/>
    </w:p>
    <w:p>
      <w:pPr>
        <w:pStyle w:val="Heading3"/>
        <w:rPr/>
      </w:pPr>
      <w:bookmarkStart w:id="4" w:name="hrs-core-classification-approaches"/>
      <w:r>
        <w:rPr/>
        <w:t>HRS Core classification approaches</w:t>
      </w:r>
    </w:p>
    <w:p>
      <w:pPr>
        <w:pStyle w:val="Compact"/>
        <w:numPr>
          <w:ilvl w:val="0"/>
          <w:numId w:val="1"/>
        </w:numPr>
        <w:rPr/>
      </w:pPr>
      <w:r>
        <w:rPr/>
        <w:t>Two Core classification approaches</w:t>
      </w:r>
    </w:p>
    <w:p>
      <w:pPr>
        <w:pStyle w:val="Compact"/>
        <w:numPr>
          <w:ilvl w:val="1"/>
          <w:numId w:val="1"/>
        </w:numPr>
        <w:rPr/>
      </w:pPr>
      <w:r>
        <w:rPr/>
        <w:t>Core algorithm</w:t>
      </w:r>
    </w:p>
    <w:p>
      <w:pPr>
        <w:pStyle w:val="Compact"/>
        <w:numPr>
          <w:ilvl w:val="2"/>
          <w:numId w:val="1"/>
        </w:numPr>
        <w:rPr/>
      </w:pPr>
      <w:r>
        <w:rPr/>
        <w:t>Survey-weighted CFA; demographically normed cognitive score; cognitive/self-report/informant rules</w:t>
      </w:r>
    </w:p>
    <w:p>
      <w:pPr>
        <w:pStyle w:val="Compact"/>
        <w:numPr>
          <w:ilvl w:val="2"/>
          <w:numId w:val="1"/>
        </w:numPr>
        <w:rPr/>
      </w:pPr>
      <w:r>
        <w:rPr/>
        <w:t>[Provenance: R/A7_050-mplus_model.R; R/A7_055-norm_factor_score.R; R/A7_075-implement_algorithm.R]</w:t>
      </w:r>
    </w:p>
    <w:p>
      <w:pPr>
        <w:pStyle w:val="Compact"/>
        <w:numPr>
          <w:ilvl w:val="1"/>
          <w:numId w:val="1"/>
        </w:numPr>
        <w:rPr/>
      </w:pPr>
      <w:r>
        <w:rPr/>
        <w:t>PMM</w:t>
      </w:r>
    </w:p>
    <w:p>
      <w:pPr>
        <w:pStyle w:val="Compact"/>
        <w:numPr>
          <w:ilvl w:val="2"/>
          <w:numId w:val="1"/>
        </w:numPr>
        <w:rPr/>
      </w:pPr>
      <w:r>
        <w:rPr/>
        <w:t>HRS/HCAP-calibrated probabilistic Normal/MCI/Dementia classification; combined cognition and Jorm models (i.e., two PMM models, one trained using cognition data, the other trained using informant data (Jorm IQCODE)).</w:t>
      </w:r>
    </w:p>
    <w:p>
      <w:pPr>
        <w:pStyle w:val="Compact"/>
        <w:numPr>
          <w:ilvl w:val="2"/>
          <w:numId w:val="1"/>
        </w:numPr>
        <w:rPr/>
      </w:pPr>
      <w:r>
        <w:rPr>
          <w:i/>
          <w:iCs/>
        </w:rPr>
        <w:t>Limitation</w:t>
      </w:r>
      <w:r>
        <w:rPr/>
        <w:t>: The HRS/HCAP IQCODE look back window is the past 10 years, the Core IQCODE has a look back window of 2 years.</w:t>
      </w:r>
    </w:p>
    <w:p>
      <w:pPr>
        <w:pStyle w:val="Compact"/>
        <w:numPr>
          <w:ilvl w:val="2"/>
          <w:numId w:val="1"/>
        </w:numPr>
        <w:rPr/>
      </w:pPr>
      <w:r>
        <w:rPr/>
        <w:t>[Provenance: R/PMM_103_calibration_model.R; R/PMM_110_Comparison_of_Consensus_Langa_Weir.R]</w:t>
      </w:r>
    </w:p>
    <w:p>
      <w:pPr>
        <w:pStyle w:val="Heading4"/>
        <w:rPr/>
      </w:pPr>
      <w:bookmarkStart w:id="5" w:name="core-algorithm"/>
      <w:r>
        <w:rPr/>
        <w:t>Core algorithm</w:t>
      </w:r>
    </w:p>
    <w:p>
      <w:pPr>
        <w:pStyle w:val="Compact"/>
        <w:numPr>
          <w:ilvl w:val="0"/>
          <w:numId w:val="1"/>
        </w:numPr>
        <w:rPr/>
      </w:pPr>
      <w:r>
        <w:rPr/>
        <w:t>Single-factor Core cognition model</w:t>
      </w:r>
    </w:p>
    <w:p>
      <w:pPr>
        <w:pStyle w:val="Compact"/>
        <w:numPr>
          <w:ilvl w:val="1"/>
          <w:numId w:val="1"/>
        </w:numPr>
        <w:rPr/>
      </w:pPr>
      <w:r>
        <w:rPr/>
        <w:t>Not enough items to separately score 5 domains matching Manly et al. (2022)</w:t>
      </w:r>
    </w:p>
    <w:p>
      <w:pPr>
        <w:pStyle w:val="Compact"/>
        <w:numPr>
          <w:ilvl w:val="1"/>
          <w:numId w:val="1"/>
        </w:numPr>
        <w:rPr/>
      </w:pPr>
      <w:r>
        <w:rPr/>
        <w:t>Initial 8-indicator, complex-survey model fit evaluated with WLSMV</w:t>
      </w:r>
    </w:p>
    <w:p>
      <w:pPr>
        <w:pStyle w:val="Compact"/>
        <w:numPr>
          <w:ilvl w:val="1"/>
          <w:numId w:val="1"/>
        </w:numPr>
        <w:rPr/>
      </w:pPr>
      <w:r>
        <w:rPr/>
        <w:t>Factor scores estimated with MLR, a probit link, and EAP scoring after fixing item parameters to the MLR model estimates</w:t>
      </w:r>
    </w:p>
    <w:p>
      <w:pPr>
        <w:pStyle w:val="Compact"/>
        <w:numPr>
          <w:ilvl w:val="1"/>
          <w:numId w:val="1"/>
        </w:numPr>
        <w:rPr/>
      </w:pPr>
      <w:r>
        <w:rPr/>
        <w:t>Factor-score normalization; age, sex, race/ethnicity, education covariates</w:t>
      </w:r>
    </w:p>
    <w:p>
      <w:pPr>
        <w:pStyle w:val="Compact"/>
        <w:numPr>
          <w:ilvl w:val="1"/>
          <w:numId w:val="1"/>
        </w:numPr>
        <w:rPr/>
      </w:pPr>
      <w:r>
        <w:rPr/>
        <w:t>[Provenance: R/A7_050-mplus_model.R; mplus_output/A7/model_1a_fixed/model_1a_fixed.inp; R/A7_055-norm_factor_score.R]</w:t>
      </w:r>
    </w:p>
    <w:p>
      <w:pPr>
        <w:pStyle w:val="Compact"/>
        <w:numPr>
          <w:ilvl w:val="0"/>
          <w:numId w:val="1"/>
        </w:numPr>
        <w:rPr/>
      </w:pPr>
      <w:r>
        <w:rPr/>
        <w:t>Rule-based classification</w:t>
      </w:r>
    </w:p>
    <w:p>
      <w:pPr>
        <w:pStyle w:val="Compact"/>
        <w:numPr>
          <w:ilvl w:val="1"/>
          <w:numId w:val="1"/>
        </w:numPr>
        <w:rPr/>
      </w:pPr>
      <w:r>
        <w:rPr/>
        <w:t>Cognitive thresholds; self-reported concern; JORM for missing cognitive assessments</w:t>
      </w:r>
    </w:p>
    <w:p>
      <w:pPr>
        <w:pStyle w:val="Compact"/>
        <w:numPr>
          <w:ilvl w:val="1"/>
          <w:numId w:val="1"/>
        </w:numPr>
        <w:rPr/>
      </w:pPr>
      <w:r>
        <w:rPr/>
        <w:t>Normal, MCI, Dementia output</w:t>
      </w:r>
    </w:p>
    <w:p>
      <w:pPr>
        <w:pStyle w:val="Compact"/>
        <w:numPr>
          <w:ilvl w:val="1"/>
          <w:numId w:val="1"/>
        </w:numPr>
        <w:rPr/>
      </w:pPr>
      <w:r>
        <w:rPr/>
        <w:t xml:space="preserve">More detail in </w:t>
      </w:r>
      <w:r>
        <w:rPr>
          <w:b/>
          <w:bCs/>
        </w:rPr>
        <w:t>Appendix 1</w:t>
      </w:r>
    </w:p>
    <w:p>
      <w:pPr>
        <w:pStyle w:val="Compact"/>
        <w:numPr>
          <w:ilvl w:val="1"/>
          <w:numId w:val="1"/>
        </w:numPr>
        <w:rPr/>
      </w:pPr>
      <w:r>
        <w:rPr/>
        <w:t>[Provenance: R/A7_075-implement_algorithm.R]</w:t>
      </w:r>
      <w:bookmarkEnd w:id="5"/>
    </w:p>
    <w:p>
      <w:pPr>
        <w:pStyle w:val="Heading4"/>
        <w:rPr/>
      </w:pPr>
      <w:bookmarkStart w:id="6" w:name="pmm-classification"/>
      <w:r>
        <w:rPr/>
        <w:t>PMM classification</w:t>
      </w:r>
    </w:p>
    <w:p>
      <w:pPr>
        <w:pStyle w:val="Compact"/>
        <w:numPr>
          <w:ilvl w:val="0"/>
          <w:numId w:val="1"/>
        </w:numPr>
        <w:rPr/>
      </w:pPr>
      <w:r>
        <w:rPr/>
        <w:t>HRS/HCAP calibration</w:t>
      </w:r>
    </w:p>
    <w:p>
      <w:pPr>
        <w:pStyle w:val="Compact"/>
        <w:numPr>
          <w:ilvl w:val="1"/>
          <w:numId w:val="1"/>
        </w:numPr>
        <w:rPr/>
      </w:pPr>
      <w:r>
        <w:rPr/>
        <w:t>Known-class HRS/HCAP Algorithm classification; cognitive, functional, self-report, informant indicators</w:t>
      </w:r>
    </w:p>
    <w:p>
      <w:pPr>
        <w:pStyle w:val="Compact"/>
        <w:numPr>
          <w:ilvl w:val="1"/>
          <w:numId w:val="1"/>
        </w:numPr>
        <w:rPr/>
      </w:pPr>
      <w:r>
        <w:rPr/>
        <w:t>No latent variables for overall cognition, individual tests used</w:t>
      </w:r>
    </w:p>
    <w:p>
      <w:pPr>
        <w:pStyle w:val="Compact"/>
        <w:numPr>
          <w:ilvl w:val="1"/>
          <w:numId w:val="1"/>
        </w:numPr>
        <w:rPr/>
      </w:pPr>
      <w:r>
        <w:rPr/>
        <w:t>Fixed calibration parameters; Core application</w:t>
      </w:r>
    </w:p>
    <w:p>
      <w:pPr>
        <w:pStyle w:val="Compact"/>
        <w:numPr>
          <w:ilvl w:val="1"/>
          <w:numId w:val="1"/>
        </w:numPr>
        <w:rPr/>
      </w:pPr>
      <w:r>
        <w:rPr/>
        <w:t>[Provenance: R/PMM_100_norming_npb.R; R/PMM_103_calibration_model.R]</w:t>
      </w:r>
    </w:p>
    <w:p>
      <w:pPr>
        <w:pStyle w:val="Compact"/>
        <w:numPr>
          <w:ilvl w:val="0"/>
          <w:numId w:val="1"/>
        </w:numPr>
        <w:rPr/>
      </w:pPr>
      <w:r>
        <w:rPr/>
        <w:t>Combined classification</w:t>
      </w:r>
    </w:p>
    <w:p>
      <w:pPr>
        <w:pStyle w:val="Compact"/>
        <w:numPr>
          <w:ilvl w:val="1"/>
          <w:numId w:val="1"/>
        </w:numPr>
        <w:rPr/>
      </w:pPr>
      <w:r>
        <w:rPr/>
        <w:t>Cognition-model probabilities; JORM-model probabilities when available</w:t>
      </w:r>
    </w:p>
    <w:p>
      <w:pPr>
        <w:pStyle w:val="Compact"/>
        <w:numPr>
          <w:ilvl w:val="1"/>
          <w:numId w:val="1"/>
        </w:numPr>
        <w:rPr/>
      </w:pPr>
      <w:r>
        <w:rPr/>
        <w:t>Probabilistic Normal/MCI/Dementia membership; replicated probability-weighted comparisons</w:t>
      </w:r>
    </w:p>
    <w:p>
      <w:pPr>
        <w:pStyle w:val="Compact"/>
        <w:numPr>
          <w:ilvl w:val="1"/>
          <w:numId w:val="1"/>
        </w:numPr>
        <w:rPr/>
      </w:pPr>
      <w:r>
        <w:rPr/>
        <w:t xml:space="preserve">More detail in </w:t>
      </w:r>
      <w:r>
        <w:rPr>
          <w:b/>
          <w:bCs/>
        </w:rPr>
        <w:t>Appendix 2</w:t>
      </w:r>
    </w:p>
    <w:p>
      <w:pPr>
        <w:pStyle w:val="Compact"/>
        <w:numPr>
          <w:ilvl w:val="1"/>
          <w:numId w:val="1"/>
        </w:numPr>
        <w:rPr/>
      </w:pPr>
      <w:r>
        <w:rPr/>
        <w:t>[Provenance: R/PMM_110_Comparison_of_Consensus_Langa_Weir.R]</w:t>
      </w:r>
      <w:bookmarkEnd w:id="4"/>
      <w:bookmarkEnd w:id="6"/>
    </w:p>
    <w:p>
      <w:pPr>
        <w:pStyle w:val="Heading3"/>
        <w:rPr/>
      </w:pPr>
      <w:bookmarkStart w:id="7" w:name="comparison-classifications-and-estimands"/>
      <w:r>
        <w:rPr/>
        <w:t>Comparison classifications and estimands</w:t>
      </w:r>
    </w:p>
    <w:p>
      <w:pPr>
        <w:pStyle w:val="Compact"/>
        <w:numPr>
          <w:ilvl w:val="0"/>
          <w:numId w:val="1"/>
        </w:numPr>
        <w:rPr/>
      </w:pPr>
      <w:r>
        <w:rPr/>
        <w:t>Primary comparator: HRS/HCAP Algorithm</w:t>
      </w:r>
    </w:p>
    <w:p>
      <w:pPr>
        <w:pStyle w:val="Compact"/>
        <w:numPr>
          <w:ilvl w:val="1"/>
          <w:numId w:val="1"/>
        </w:numPr>
        <w:rPr/>
      </w:pPr>
      <w:r>
        <w:rPr/>
        <w:t>HCAP population weights: HCAP16WGTR</w:t>
      </w:r>
    </w:p>
    <w:p>
      <w:pPr>
        <w:pStyle w:val="Compact"/>
        <w:numPr>
          <w:ilvl w:val="1"/>
          <w:numId w:val="1"/>
        </w:numPr>
        <w:rPr/>
      </w:pPr>
      <w:r>
        <w:rPr/>
        <w:t>[Provenance: R/A7_100-comparison_of_diagnoses.R]</w:t>
      </w:r>
    </w:p>
    <w:p>
      <w:pPr>
        <w:pStyle w:val="Compact"/>
        <w:numPr>
          <w:ilvl w:val="0"/>
          <w:numId w:val="1"/>
        </w:numPr>
        <w:rPr/>
      </w:pPr>
      <w:r>
        <w:rPr/>
        <w:t>Secondary comparators</w:t>
      </w:r>
    </w:p>
    <w:p>
      <w:pPr>
        <w:pStyle w:val="Compact"/>
        <w:numPr>
          <w:ilvl w:val="1"/>
          <w:numId w:val="1"/>
        </w:numPr>
        <w:rPr/>
      </w:pPr>
      <w:r>
        <w:rPr/>
        <w:t>HCAP consensus diagnosis: normalized HCAP16WGTR x samplingP^-1 weights</w:t>
      </w:r>
    </w:p>
    <w:p>
      <w:pPr>
        <w:pStyle w:val="Compact"/>
        <w:numPr>
          <w:ilvl w:val="1"/>
          <w:numId w:val="1"/>
        </w:numPr>
        <w:rPr/>
      </w:pPr>
      <w:r>
        <w:rPr/>
        <w:t>Langa-Weir; Hudomiet classification</w:t>
      </w:r>
    </w:p>
    <w:p>
      <w:pPr>
        <w:pStyle w:val="Compact"/>
        <w:numPr>
          <w:ilvl w:val="1"/>
          <w:numId w:val="1"/>
        </w:numPr>
        <w:rPr/>
      </w:pPr>
      <w:r>
        <w:rPr/>
        <w:t>[Provenance: R/A0_017-recode_classification.R; R/A7_100-comparison_of_diagnoses.R]</w:t>
      </w:r>
    </w:p>
    <w:p>
      <w:pPr>
        <w:pStyle w:val="Compact"/>
        <w:numPr>
          <w:ilvl w:val="0"/>
          <w:numId w:val="1"/>
        </w:numPr>
        <w:rPr/>
      </w:pPr>
      <w:r>
        <w:rPr/>
        <w:t>Agreement estimands</w:t>
      </w:r>
    </w:p>
    <w:p>
      <w:pPr>
        <w:pStyle w:val="Compact"/>
        <w:numPr>
          <w:ilvl w:val="1"/>
          <w:numId w:val="1"/>
        </w:numPr>
        <w:rPr/>
      </w:pPr>
      <w:r>
        <w:rPr/>
        <w:t>3-class quadratic weighted kappa</w:t>
      </w:r>
    </w:p>
    <w:p>
      <w:pPr>
        <w:pStyle w:val="Compact"/>
        <w:numPr>
          <w:ilvl w:val="1"/>
          <w:numId w:val="1"/>
        </w:numPr>
        <w:rPr/>
      </w:pPr>
      <w:r>
        <w:rPr/>
        <w:t>Dementia versus non-dementia kappa</w:t>
      </w:r>
    </w:p>
    <w:p>
      <w:pPr>
        <w:pStyle w:val="Compact"/>
        <w:numPr>
          <w:ilvl w:val="1"/>
          <w:numId w:val="1"/>
        </w:numPr>
        <w:rPr/>
      </w:pPr>
      <w:r>
        <w:rPr/>
        <w:t>Marginal Normal/MCI/Dementia distributions</w:t>
      </w:r>
    </w:p>
    <w:p>
      <w:pPr>
        <w:pStyle w:val="Compact"/>
        <w:numPr>
          <w:ilvl w:val="1"/>
          <w:numId w:val="1"/>
        </w:numPr>
        <w:rPr/>
      </w:pPr>
      <w:r>
        <w:rPr/>
        <w:t>[Provenance: R/MS_MAIN/MS_010_results_objects.R]</w:t>
      </w:r>
      <w:bookmarkEnd w:id="2"/>
      <w:bookmarkEnd w:id="7"/>
    </w:p>
    <w:p>
      <w:pPr>
        <w:pStyle w:val="Heading2"/>
        <w:rPr/>
      </w:pPr>
      <w:bookmarkStart w:id="8" w:name="results"/>
      <w:r>
        <w:rPr/>
        <w:t>Results</w:t>
      </w:r>
    </w:p>
    <w:p>
      <w:pPr>
        <w:pStyle w:val="Heading3"/>
        <w:rPr/>
      </w:pPr>
      <w:bookmarkStart w:id="9" w:name="Xad2bd54244e6af657ac2421898d5fe1da8f3e99"/>
      <w:r>
        <w:rPr/>
        <w:t>Analytic samples and classification margins</w:t>
      </w:r>
    </w:p>
    <w:p>
      <w:pPr>
        <w:pStyle w:val="Compact"/>
        <w:numPr>
          <w:ilvl w:val="0"/>
          <w:numId w:val="1"/>
        </w:numPr>
        <w:rPr/>
      </w:pPr>
      <w:r>
        <w:rPr/>
        <w:t>Table 1: HRS/HCAP study sample characteristics</w:t>
      </w:r>
    </w:p>
    <w:p>
      <w:pPr>
        <w:pStyle w:val="Compact"/>
        <w:numPr>
          <w:ilvl w:val="1"/>
          <w:numId w:val="1"/>
        </w:numPr>
        <w:rPr/>
      </w:pPr>
      <w:r>
        <w:rPr/>
        <w:t>Dynamic counts and descriptive statistics</w:t>
      </w:r>
    </w:p>
    <w:p>
      <w:pPr>
        <w:pStyle w:val="Compact"/>
        <w:numPr>
          <w:ilvl w:val="1"/>
          <w:numId w:val="1"/>
        </w:numPr>
        <w:rPr/>
      </w:pPr>
      <w:r>
        <w:rPr/>
        <w:t>[Provenance: R/MS_MAIN/MS_Tab_Fig_Apndx-030-Table-1.qmd]</w:t>
      </w:r>
    </w:p>
    <w:p>
      <w:pPr>
        <w:pStyle w:val="Compact"/>
        <w:numPr>
          <w:ilvl w:val="0"/>
          <w:numId w:val="1"/>
        </w:numPr>
        <w:rPr/>
      </w:pPr>
      <w:r>
        <w:rPr/>
        <w:t>Table 2: weighted classification margins</w:t>
      </w:r>
    </w:p>
    <w:p>
      <w:pPr>
        <w:pStyle w:val="Compact"/>
        <w:numPr>
          <w:ilvl w:val="1"/>
          <w:numId w:val="1"/>
        </w:numPr>
        <w:rPr/>
      </w:pPr>
      <w:r>
        <w:rPr/>
        <w:t>HRS/HCAP Algorithm; Core algorithm; PMM; Langa-Weir; Hudomiet</w:t>
      </w:r>
    </w:p>
    <w:p>
      <w:pPr>
        <w:pStyle w:val="Compact"/>
        <w:numPr>
          <w:ilvl w:val="1"/>
          <w:numId w:val="1"/>
        </w:numPr>
        <w:rPr/>
      </w:pPr>
      <w:r>
        <w:rPr/>
        <w:t>[Provenance: R/MS_MAIN/MS_010_results_objects.R]</w:t>
      </w:r>
    </w:p>
    <w:p>
      <w:pPr>
        <w:pStyle w:val="Compact"/>
        <w:numPr>
          <w:ilvl w:val="0"/>
          <w:numId w:val="1"/>
        </w:numPr>
        <w:rPr/>
      </w:pPr>
      <w:r>
        <w:rPr/>
        <w:t>Figure 1: PMM class-probability distributions</w:t>
      </w:r>
    </w:p>
    <w:p>
      <w:pPr>
        <w:pStyle w:val="Compact"/>
        <w:numPr>
          <w:ilvl w:val="1"/>
          <w:numId w:val="1"/>
        </w:numPr>
        <w:rPr/>
      </w:pPr>
      <w:r>
        <w:rPr/>
        <w:t>Probability separation; uncertainty near class boundaries</w:t>
      </w:r>
    </w:p>
    <w:p>
      <w:pPr>
        <w:pStyle w:val="Compact"/>
        <w:numPr>
          <w:ilvl w:val="1"/>
          <w:numId w:val="1"/>
        </w:numPr>
        <w:rPr/>
      </w:pPr>
      <w:r>
        <w:rPr/>
        <w:t>[Provenance: R/PMM_112_Margins.R]</w:t>
      </w:r>
      <w:bookmarkEnd w:id="9"/>
    </w:p>
    <w:p>
      <w:pPr>
        <w:pStyle w:val="Heading3"/>
        <w:rPr/>
      </w:pPr>
      <w:bookmarkStart w:id="10" w:name="agreement-with-hrshcap-algorithm"/>
      <w:r>
        <w:rPr/>
        <w:t>Agreement with HRS/HCAP Algorithm</w:t>
      </w:r>
    </w:p>
    <w:p>
      <w:pPr>
        <w:pStyle w:val="Compact"/>
        <w:numPr>
          <w:ilvl w:val="0"/>
          <w:numId w:val="1"/>
        </w:numPr>
        <w:rPr/>
      </w:pPr>
      <w:r>
        <w:rPr/>
        <w:t>Core algorithm versus HRS/HCAP Algorithm: 3-class kappa 0.505; binary kappa 0.352</w:t>
      </w:r>
    </w:p>
    <w:p>
      <w:pPr>
        <w:pStyle w:val="Compact"/>
        <w:numPr>
          <w:ilvl w:val="1"/>
          <w:numId w:val="1"/>
        </w:numPr>
        <w:rPr/>
      </w:pPr>
      <w:r>
        <w:rPr/>
        <w:t>[Provenance: R_objects/A7_100_hcap_tables.rds]</w:t>
      </w:r>
    </w:p>
    <w:p>
      <w:pPr>
        <w:pStyle w:val="Compact"/>
        <w:numPr>
          <w:ilvl w:val="0"/>
          <w:numId w:val="1"/>
        </w:numPr>
        <w:rPr/>
      </w:pPr>
      <w:r>
        <w:rPr/>
        <w:t>PMM versus HRS/HCAP Algorithm: 3-class kappa 0.509; binary kappa 0.437</w:t>
      </w:r>
    </w:p>
    <w:p>
      <w:pPr>
        <w:pStyle w:val="Compact"/>
        <w:numPr>
          <w:ilvl w:val="1"/>
          <w:numId w:val="1"/>
        </w:numPr>
        <w:rPr/>
      </w:pPr>
      <w:r>
        <w:rPr/>
        <w:t>[Provenance: R/PMM_110_Comparison_of_Consensus_Langa_Weir.R]</w:t>
      </w:r>
    </w:p>
    <w:p>
      <w:pPr>
        <w:pStyle w:val="Compact"/>
        <w:numPr>
          <w:ilvl w:val="0"/>
          <w:numId w:val="1"/>
        </w:numPr>
        <w:rPr/>
      </w:pPr>
      <w:r>
        <w:rPr/>
        <w:t>Table 3: pairwise agreement, comparators, weight definitions</w:t>
      </w:r>
    </w:p>
    <w:p>
      <w:pPr>
        <w:pStyle w:val="Compact"/>
        <w:numPr>
          <w:ilvl w:val="1"/>
          <w:numId w:val="1"/>
        </w:numPr>
        <w:rPr/>
      </w:pPr>
      <w:r>
        <w:rPr/>
        <w:t>[Provenance: R/MS_MAIN/MS_010_results_objects.R]</w:t>
      </w:r>
      <w:bookmarkEnd w:id="10"/>
    </w:p>
    <w:p>
      <w:pPr>
        <w:pStyle w:val="Heading3"/>
        <w:rPr/>
      </w:pPr>
      <w:bookmarkStart w:id="11" w:name="X6d65fe6e4680f26c2a7949e29ea6de33d0c0f19"/>
      <w:r>
        <w:rPr/>
        <w:t>Agreement with consensus and established HRS classifications</w:t>
      </w:r>
    </w:p>
    <w:p>
      <w:pPr>
        <w:pStyle w:val="Compact"/>
        <w:numPr>
          <w:ilvl w:val="0"/>
          <w:numId w:val="1"/>
        </w:numPr>
        <w:rPr/>
      </w:pPr>
      <w:r>
        <w:rPr/>
        <w:t>Core algorithm, PMM, Langa-Weir, Hudomiet</w:t>
      </w:r>
    </w:p>
    <w:p>
      <w:pPr>
        <w:pStyle w:val="Compact"/>
        <w:numPr>
          <w:ilvl w:val="1"/>
          <w:numId w:val="1"/>
        </w:numPr>
        <w:rPr/>
      </w:pPr>
      <w:r>
        <w:rPr/>
        <w:t>Separate HCAP population and consensus-subsample estimands</w:t>
      </w:r>
    </w:p>
    <w:p>
      <w:pPr>
        <w:pStyle w:val="Compact"/>
        <w:numPr>
          <w:ilvl w:val="1"/>
          <w:numId w:val="1"/>
        </w:numPr>
        <w:rPr/>
      </w:pPr>
      <w:r>
        <w:rPr/>
        <w:t>Weight-dependent interpretation</w:t>
      </w:r>
    </w:p>
    <w:p>
      <w:pPr>
        <w:pStyle w:val="Compact"/>
        <w:numPr>
          <w:ilvl w:val="1"/>
          <w:numId w:val="1"/>
        </w:numPr>
        <w:rPr/>
      </w:pPr>
      <w:r>
        <w:rPr/>
        <w:t>[Provenance: R/MS_MAIN/MS_010_results_objects.R]</w:t>
      </w:r>
    </w:p>
    <w:p>
      <w:pPr>
        <w:pStyle w:val="Compact"/>
        <w:numPr>
          <w:ilvl w:val="0"/>
          <w:numId w:val="1"/>
        </w:numPr>
        <w:rPr/>
      </w:pPr>
      <w:r>
        <w:rPr/>
        <w:t>Table 4: A7 pairwise three-class agreement matrix</w:t>
      </w:r>
    </w:p>
    <w:p>
      <w:pPr>
        <w:pStyle w:val="Compact"/>
        <w:numPr>
          <w:ilvl w:val="1"/>
          <w:numId w:val="1"/>
        </w:numPr>
        <w:rPr/>
      </w:pPr>
      <w:r>
        <w:rPr/>
        <w:t>[Provenance: R_objects/A7_100_hcap_tables.rds]</w:t>
      </w:r>
      <w:bookmarkEnd w:id="8"/>
      <w:bookmarkEnd w:id="11"/>
    </w:p>
    <w:p>
      <w:pPr>
        <w:pStyle w:val="Heading2"/>
        <w:rPr/>
      </w:pPr>
      <w:bookmarkStart w:id="12" w:name="discussion"/>
      <w:r>
        <w:rPr/>
        <w:t>Discussion</w:t>
      </w:r>
    </w:p>
    <w:p>
      <w:pPr>
        <w:pStyle w:val="Compact"/>
        <w:numPr>
          <w:ilvl w:val="0"/>
          <w:numId w:val="1"/>
        </w:numPr>
        <w:rPr/>
      </w:pPr>
      <w:r>
        <w:rPr/>
        <w:t>Two HRS Core classification approaches</w:t>
      </w:r>
    </w:p>
    <w:p>
      <w:pPr>
        <w:pStyle w:val="Compact"/>
        <w:numPr>
          <w:ilvl w:val="1"/>
          <w:numId w:val="1"/>
        </w:numPr>
        <w:rPr/>
      </w:pPr>
      <w:r>
        <w:rPr/>
        <w:t>Rule-based Core algorithm; probabilistic PMM classification</w:t>
      </w:r>
    </w:p>
    <w:p>
      <w:pPr>
        <w:pStyle w:val="Compact"/>
        <w:numPr>
          <w:ilvl w:val="1"/>
          <w:numId w:val="1"/>
        </w:numPr>
        <w:rPr/>
      </w:pPr>
      <w:r>
        <w:rPr/>
        <w:t>Same HRS/HCAP learning target; distinct measurement and classification assumptions</w:t>
      </w:r>
    </w:p>
    <w:p>
      <w:pPr>
        <w:pStyle w:val="Compact"/>
        <w:numPr>
          <w:ilvl w:val="1"/>
          <w:numId w:val="1"/>
        </w:numPr>
        <w:rPr/>
      </w:pPr>
      <w:r>
        <w:rPr/>
        <w:t>[Provenance:analysis methods]</w:t>
      </w:r>
    </w:p>
    <w:p>
      <w:pPr>
        <w:pStyle w:val="Compact"/>
        <w:numPr>
          <w:ilvl w:val="0"/>
          <w:numId w:val="1"/>
        </w:numPr>
        <w:rPr/>
      </w:pPr>
      <w:r>
        <w:rPr/>
        <w:t>Primary comparison</w:t>
      </w:r>
    </w:p>
    <w:p>
      <w:pPr>
        <w:pStyle w:val="Compact"/>
        <w:numPr>
          <w:ilvl w:val="1"/>
          <w:numId w:val="1"/>
        </w:numPr>
        <w:rPr/>
      </w:pPr>
      <w:r>
        <w:rPr/>
        <w:t>HRS/HCAP Algorithm; agreement and marginal-distribution evidence</w:t>
      </w:r>
    </w:p>
    <w:p>
      <w:pPr>
        <w:pStyle w:val="Compact"/>
        <w:numPr>
          <w:ilvl w:val="1"/>
          <w:numId w:val="1"/>
        </w:numPr>
        <w:rPr/>
      </w:pPr>
      <w:r>
        <w:rPr/>
        <w:t>[Provenance: Tables 2-4]</w:t>
      </w:r>
    </w:p>
    <w:p>
      <w:pPr>
        <w:pStyle w:val="Compact"/>
        <w:numPr>
          <w:ilvl w:val="0"/>
          <w:numId w:val="1"/>
        </w:numPr>
        <w:rPr/>
      </w:pPr>
      <w:r>
        <w:rPr/>
        <w:t>Secondary comparisons</w:t>
      </w:r>
    </w:p>
    <w:p>
      <w:pPr>
        <w:pStyle w:val="Compact"/>
        <w:numPr>
          <w:ilvl w:val="1"/>
          <w:numId w:val="1"/>
        </w:numPr>
        <w:rPr/>
      </w:pPr>
      <w:r>
        <w:rPr/>
        <w:t>Consensus: small validation subset; inverse-probability weights</w:t>
      </w:r>
    </w:p>
    <w:p>
      <w:pPr>
        <w:pStyle w:val="Compact"/>
        <w:numPr>
          <w:ilvl w:val="1"/>
          <w:numId w:val="1"/>
        </w:numPr>
        <w:rPr/>
      </w:pPr>
      <w:r>
        <w:rPr/>
        <w:t>Langa-Weir and Hudomiet: established HRS comparators; different development targets</w:t>
      </w:r>
    </w:p>
    <w:p>
      <w:pPr>
        <w:pStyle w:val="Compact"/>
        <w:numPr>
          <w:ilvl w:val="1"/>
          <w:numId w:val="1"/>
        </w:numPr>
        <w:rPr/>
      </w:pPr>
      <w:r>
        <w:rPr/>
        <w:t>[Provenance: R/A7_100-comparison_of_diagnoses.R]</w:t>
      </w:r>
    </w:p>
    <w:p>
      <w:pPr>
        <w:pStyle w:val="Compact"/>
        <w:numPr>
          <w:ilvl w:val="0"/>
          <w:numId w:val="1"/>
        </w:numPr>
        <w:rPr/>
      </w:pPr>
      <w:r>
        <w:rPr/>
        <w:t>Interpretation limits</w:t>
      </w:r>
    </w:p>
    <w:p>
      <w:pPr>
        <w:pStyle w:val="Compact"/>
        <w:numPr>
          <w:ilvl w:val="1"/>
          <w:numId w:val="1"/>
        </w:numPr>
        <w:rPr/>
      </w:pPr>
      <w:r>
        <w:rPr/>
        <w:t>Classification agreement; no clinical diagnostic validation outside HCAP consensus subset</w:t>
      </w:r>
    </w:p>
    <w:p>
      <w:pPr>
        <w:pStyle w:val="Compact"/>
        <w:numPr>
          <w:ilvl w:val="1"/>
          <w:numId w:val="1"/>
        </w:numPr>
        <w:rPr/>
      </w:pPr>
      <w:r>
        <w:rPr/>
        <w:t>MCI boundary; model-dependent and threshold-dependent assignments</w:t>
      </w:r>
    </w:p>
    <w:p>
      <w:pPr>
        <w:pStyle w:val="Compact"/>
        <w:numPr>
          <w:ilvl w:val="1"/>
          <w:numId w:val="1"/>
        </w:numPr>
        <w:spacing w:before="36" w:after="36"/>
        <w:rPr/>
      </w:pPr>
      <w:r>
        <w:rPr/>
        <w:t>[Provenance: analysis design; inference]</w:t>
      </w:r>
      <w:bookmarkEnd w:id="0"/>
      <w:bookmarkEnd w:id="12"/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swiss"/>
    <w:pitch w:val="variable"/>
  </w:font>
  <w:font w:name="Calibri">
    <w:charset w:val="01"/>
    <w:family w:val="swiss"/>
    <w:pitch w:val="variable"/>
  </w:font>
  <w:font w:name="Consolas">
    <w:charset w:val="01"/>
    <w:family w:val="swiss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None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-4142820"/>
                            <w:docPartObj>
                              <w:docPartGallery w:val="Page Numbers (Bottom of Page)"/>
                              <w:docPartUnique w:val="true"/>
                            </w:docPartObj>
                          </w:sdtPr>
                          <w:sdtContent>
                            <w:p>
                              <w:pPr>
                                <w:pStyle w:val="Footer"/>
                                <w:pBdr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</w:rPr>
                                <w:t>0</w: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sdt>
                    <w:sdtPr>
                      <w:id w:val="-4142820"/>
                      <w:docPartObj>
                        <w:docPartGallery w:val="Page Numbers (Bottom of Page)"/>
                        <w:docPartUnique w:val="true"/>
                      </w:docPartObj>
                    </w:sdtPr>
                    <w:sdtContent>
                      <w:p>
                        <w:pPr>
                          <w:pStyle w:val="Footer"/>
                          <w:pBdr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</w:rPr>
                          <w:t>0</w:t>
                        </w:r>
                        <w:r>
                          <w:rPr>
                            <w:rStyle w:val="PageNumber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  <w:fldChar w:fldCharType="begin"/>
    </w:r>
    <w:r>
      <w:rPr/>
      <w:instrText xml:space="preserve"> DATE \@"yyyy\-MM\-dd" </w:instrText>
    </w:r>
    <w:r>
      <w:rPr/>
      <w:fldChar w:fldCharType="separate"/>
    </w:r>
    <w:r>
      <w:rPr/>
      <w:t>2026-09-23</w:t>
    </w:r>
    <w:r>
      <w:rPr/>
      <w:fldChar w:fldCharType="end"/>
    </w:r>
    <w:r>
      <mc:AlternateContent>
        <mc:Choice Requires="wps">
          <w:drawing>
            <wp:anchor distT="0" distB="0" distL="0" distR="0" simplePos="0" relativeHeight="8" behindDoc="0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56515" cy="116840"/>
              <wp:effectExtent l="0" t="0" r="0" b="0"/>
              <wp:wrapNone/>
              <wp:docPr id="2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6515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142559779"/>
                            <w:docPartObj>
                              <w:docPartGallery w:val="Page Numbers (Bottom of Page)"/>
                              <w:docPartUnique w:val="true"/>
                            </w:docPartObj>
                          </w:sdtPr>
                          <w:sdtContent>
                            <w:p>
                              <w:pPr>
                                <w:pStyle w:val="Footer"/>
                                <w:pBdr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</w:rPr>
                                <w:t>7</w: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.45pt;height:9.2pt;mso-wrap-distance-left:0pt;mso-wrap-distance-right:0pt;mso-wrap-distance-top:0pt;mso-wrap-distance-bottom:0pt;margin-top:0.05pt;mso-position-vertical-relative:text;margin-left:463.55pt;mso-position-horizontal:right;mso-position-horizontal-relative:margin">
              <v:fill opacity="0f"/>
              <v:textbox inset="0in,0in,0in,0in">
                <w:txbxContent>
                  <w:sdt>
                    <w:sdtPr>
                      <w:id w:val="142559779"/>
                      <w:docPartObj>
                        <w:docPartGallery w:val="Page Numbers (Bottom of Page)"/>
                        <w:docPartUnique w:val="true"/>
                      </w:docPartObj>
                    </w:sdtPr>
                    <w:sdtContent>
                      <w:p>
                        <w:pPr>
                          <w:pStyle w:val="Footer"/>
                          <w:pBdr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</w:rPr>
                          <w:t>7</w:t>
                        </w:r>
                        <w:r>
                          <w:rPr>
                            <w:rStyle w:val="PageNumber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  <w:fldChar w:fldCharType="begin"/>
    </w:r>
    <w:r>
      <w:rPr/>
      <w:instrText xml:space="preserve"> DATE \@"yyyy\-MM\-dd" </w:instrText>
    </w:r>
    <w:r>
      <w:rPr/>
      <w:fldChar w:fldCharType="separate"/>
    </w:r>
    <w:r>
      <w:rPr/>
      <w:t>2026-09-23</w:t>
    </w:r>
    <w:r>
      <w:rPr/>
      <w:fldChar w:fldCharType="end"/>
    </w:r>
    <w:r>
      <mc:AlternateContent>
        <mc:Choice Requires="wps">
          <w:drawing>
            <wp:anchor distT="0" distB="0" distL="0" distR="0" simplePos="0" relativeHeight="8" behindDoc="0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56515" cy="116840"/>
              <wp:effectExtent l="0" t="0" r="0" b="0"/>
              <wp:wrapNone/>
              <wp:docPr id="3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6515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sdt>
                          <w:sdtPr>
                            <w:id w:val="142559779"/>
                            <w:docPartObj>
                              <w:docPartGallery w:val="Page Numbers (Bottom of Page)"/>
                              <w:docPartUnique w:val="true"/>
                            </w:docPartObj>
                          </w:sdtPr>
                          <w:sdtContent>
                            <w:p>
                              <w:pPr>
                                <w:pStyle w:val="Footer"/>
                                <w:pBdr/>
                                <w:rPr>
                                  <w:rStyle w:val="PageNumber"/>
                                </w:rPr>
                              </w:pPr>
                              <w:r>
                                <w:rPr>
                                  <w:rStyle w:val="PageNumber"/>
                                </w:rPr>
                                <w:fldChar w:fldCharType="begin"/>
                              </w:r>
                              <w:r>
                                <w:rPr>
                                  <w:rStyle w:val="PageNumber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separate"/>
                              </w:r>
                              <w:r>
                                <w:rPr>
                                  <w:rStyle w:val="PageNumber"/>
                                </w:rPr>
                                <w:t>7</w:t>
                              </w:r>
                              <w:r>
                                <w:rPr>
                                  <w:rStyle w:val="PageNumber"/>
                                </w:rPr>
                                <w:fldChar w:fldCharType="end"/>
                              </w:r>
                            </w:p>
                          </w:sdtContent>
                        </w:sdt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.45pt;height:9.2pt;mso-wrap-distance-left:0pt;mso-wrap-distance-right:0pt;mso-wrap-distance-top:0pt;mso-wrap-distance-bottom:0pt;margin-top:0.05pt;mso-position-vertical-relative:text;margin-left:463.55pt;mso-position-horizontal:right;mso-position-horizontal-relative:margin">
              <v:fill opacity="0f"/>
              <v:textbox inset="0in,0in,0in,0in">
                <w:txbxContent>
                  <w:sdt>
                    <w:sdtPr>
                      <w:id w:val="142559779"/>
                      <w:docPartObj>
                        <w:docPartGallery w:val="Page Numbers (Bottom of Page)"/>
                        <w:docPartUnique w:val="true"/>
                      </w:docPartObj>
                    </w:sdtPr>
                    <w:sdtContent>
                      <w:p>
                        <w:pPr>
                          <w:pStyle w:val="Footer"/>
                          <w:pBdr/>
                          <w:rPr>
                            <w:rStyle w:val="PageNumber"/>
                          </w:rPr>
                        </w:pPr>
                        <w:r>
                          <w:rPr>
                            <w:rStyle w:val="PageNumber"/>
                          </w:rPr>
                          <w:fldChar w:fldCharType="begin"/>
                        </w:r>
                        <w:r>
                          <w:rPr>
                            <w:rStyle w:val="PageNumber"/>
                          </w:rPr>
                          <w:instrText xml:space="preserve"> PAGE </w:instrText>
                        </w:r>
                        <w:r>
                          <w:rPr>
                            <w:rStyle w:val="PageNumber"/>
                          </w:rPr>
                          <w:fldChar w:fldCharType="separate"/>
                        </w:r>
                        <w:r>
                          <w:rPr>
                            <w:rStyle w:val="PageNumber"/>
                          </w:rPr>
                          <w:t>7</w:t>
                        </w:r>
                        <w:r>
                          <w:rPr>
                            <w:rStyle w:val="PageNumber"/>
                          </w:rPr>
                          <w:fldChar w:fldCharType="end"/>
                        </w:r>
                      </w:p>
                    </w:sdtContent>
                  </w:sdt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</w:numbering>
</file>

<file path=word/settings.xml><?xml version="1.0" encoding="utf-8"?>
<w:settings xmlns:w="http://schemas.openxmlformats.org/wordprocessingml/2006/main">
  <w:zoom w:percent="96"/>
  <w:embedSystemFonts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uiPriority="39" w:semiHidden="1" w:unhideWhenUsed="1"/>
    <w:lsdException w:name="toc 3" w:uiPriority="39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81da6"/>
    <w:pPr>
      <w:widowControl/>
      <w:bidi w:val="0"/>
      <w:spacing w:before="0" w:after="0"/>
      <w:jc w:val="left"/>
    </w:pPr>
    <w:rPr>
      <w:rFonts w:ascii="Arial" w:hAnsi="Arial" w:eastAsia="Cambria" w:cs="" w:cstheme="minorBidi" w:eastAsiaTheme="minorHAnsi"/>
      <w:color w:val="auto"/>
      <w:kern w:val="0"/>
      <w:sz w:val="22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rsid w:val="00b00530"/>
    <w:pPr>
      <w:keepNext w:val="true"/>
      <w:keepLines/>
      <w:spacing w:before="220" w:after="0"/>
      <w:outlineLvl w:val="0"/>
    </w:pPr>
    <w:rPr>
      <w:rFonts w:eastAsia="" w:cs="" w:cstheme="majorBidi" w:eastAsiaTheme="majorEastAsia"/>
      <w:b/>
      <w:bCs/>
      <w:color w:themeColor="text1" w:val="000000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b85d98"/>
    <w:pPr>
      <w:keepNext w:val="true"/>
      <w:keepLines/>
      <w:spacing w:before="120" w:after="120"/>
      <w:outlineLvl w:val="1"/>
    </w:pPr>
    <w:rPr>
      <w:rFonts w:eastAsia="" w:cs="" w:cstheme="majorBidi" w:eastAsiaTheme="majorEastAsia"/>
      <w:b/>
      <w:bCs/>
      <w:i/>
      <w:color w:themeColor="text1" w:val="000000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c80241"/>
    <w:pPr>
      <w:keepNext w:val="true"/>
      <w:keepLines/>
      <w:spacing w:before="220" w:after="0"/>
      <w:outlineLvl w:val="2"/>
    </w:pPr>
    <w:rPr>
      <w:rFonts w:eastAsia="" w:cs="" w:cstheme="majorBidi" w:eastAsiaTheme="majorEastAsia"/>
      <w:bCs/>
      <w:i/>
      <w:color w:themeColor="text1" w:val="000000"/>
      <w:u w:val="single"/>
    </w:rPr>
  </w:style>
  <w:style w:type="paragraph" w:styleId="Heading4">
    <w:name w:val="heading 4"/>
    <w:basedOn w:val="Normal"/>
    <w:next w:val="BodyText"/>
    <w:uiPriority w:val="9"/>
    <w:unhideWhenUsed/>
    <w:qFormat/>
    <w:rsid w:val="00e500c9"/>
    <w:pPr>
      <w:keepNext w:val="true"/>
      <w:keepLines/>
      <w:spacing w:before="220" w:after="0"/>
      <w:outlineLvl w:val="3"/>
    </w:pPr>
    <w:rPr>
      <w:rFonts w:eastAsia="" w:cs="" w:cstheme="majorBidi" w:eastAsiaTheme="majorEastAsia"/>
      <w:bCs/>
      <w:i/>
      <w:color w:themeColor="background1" w:val="FFFFFF"/>
    </w:rPr>
  </w:style>
  <w:style w:type="paragraph" w:styleId="Heading5">
    <w:name w:val="heading 5"/>
    <w:basedOn w:val="Normal"/>
    <w:next w:val="BodyText"/>
    <w:uiPriority w:val="9"/>
    <w:unhideWhenUsed/>
    <w:qFormat/>
    <w:rsid w:val="000d5f49"/>
    <w:pPr>
      <w:keepNext w:val="true"/>
      <w:keepLines/>
      <w:pageBreakBefore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background1" w:val="FFFFFF"/>
      <w:sz w:val="20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ptionChar" w:customStyle="1">
    <w:name w:val="Caption Char"/>
    <w:basedOn w:val="DefaultParagraphFont"/>
    <w:link w:val="Caption"/>
    <w:qFormat/>
    <w:rsid w:val="00a70c7c"/>
    <w:rPr>
      <w:rFonts w:ascii="Arial" w:hAnsi="Arial"/>
      <w:i/>
      <w:sz w:val="22"/>
    </w:rPr>
  </w:style>
  <w:style w:type="character" w:styleId="VerbatimChar" w:customStyle="1">
    <w:name w:val="Verbatim Char"/>
    <w:basedOn w:val="CaptionChar"/>
    <w:link w:val="SourceCode"/>
    <w:qFormat/>
    <w:rsid w:val="00a11931"/>
    <w:rPr>
      <w:rFonts w:ascii="Consolas" w:hAnsi="Consolas"/>
      <w:i w:val="false"/>
      <w:sz w:val="18"/>
      <w:shd w:fill="F8F8F8" w:val="clear"/>
    </w:rPr>
  </w:style>
  <w:style w:type="character" w:styleId="SectionNumber" w:customStyle="1">
    <w:name w:val="Section Number"/>
    <w:basedOn w:val="CaptionChar"/>
    <w:qFormat/>
    <w:rPr>
      <w:rFonts w:ascii="Arial" w:hAnsi="Arial"/>
      <w:i/>
      <w:sz w:val="22"/>
    </w:rPr>
  </w:style>
  <w:style w:type="character" w:styleId="FootnoteCharacters">
    <w:name w:val="Footnote Characters"/>
    <w:basedOn w:val="CaptionChar"/>
    <w:qFormat/>
    <w:rPr>
      <w:rFonts w:ascii="Arial" w:hAnsi="Arial"/>
      <w:i/>
      <w:sz w:val="22"/>
      <w:vertAlign w:val="superscript"/>
    </w:rPr>
  </w:style>
  <w:style w:type="character" w:styleId="FootnoteReference">
    <w:name w:val="footnote reference"/>
    <w:rPr>
      <w:rFonts w:ascii="Arial" w:hAnsi="Arial"/>
      <w:i/>
      <w:sz w:val="22"/>
      <w:vertAlign w:val="superscript"/>
    </w:rPr>
  </w:style>
  <w:style w:type="character" w:styleId="Hyperlink">
    <w:name w:val="Hyperlink"/>
    <w:basedOn w:val="CaptionChar"/>
    <w:uiPriority w:val="99"/>
    <w:rsid w:val="004d740f"/>
    <w:rPr>
      <w:rFonts w:ascii="Arial" w:hAnsi="Arial"/>
      <w:i w:val="false"/>
      <w:color w:themeColor="text2" w:val="1F497D"/>
      <w:sz w:val="22"/>
      <w:u w:val="single"/>
    </w:rPr>
  </w:style>
  <w:style w:type="character" w:styleId="KeywordTok" w:customStyle="1">
    <w:name w:val="KeywordTok"/>
    <w:basedOn w:val="VerbatimChar"/>
    <w:qFormat/>
    <w:rsid w:val="00833e34"/>
    <w:rPr>
      <w:rFonts w:ascii="Consolas" w:hAnsi="Consolas"/>
      <w:b w:val="false"/>
      <w:i w:val="false"/>
      <w:color w:themeColor="text1" w:val="000000"/>
      <w:sz w:val="18"/>
      <w:shd w:fill="F8F8F8" w:val="clear"/>
    </w:rPr>
  </w:style>
  <w:style w:type="character" w:styleId="DataTypeTok" w:customStyle="1">
    <w:name w:val="DataTypeTok"/>
    <w:basedOn w:val="VerbatimChar"/>
    <w:qFormat/>
    <w:rsid w:val="00b00530"/>
    <w:rPr>
      <w:rFonts w:ascii="Consolas" w:hAnsi="Consolas"/>
      <w:i w:val="false"/>
      <w:color w:themeColor="text1" w:val="000000"/>
      <w:sz w:val="18"/>
      <w:shd w:fill="F8F8F8" w:val="clear"/>
    </w:rPr>
  </w:style>
  <w:style w:type="character" w:styleId="DecValTok" w:customStyle="1">
    <w:name w:val="DecValTok"/>
    <w:basedOn w:val="VerbatimChar"/>
    <w:qFormat/>
    <w:rsid w:val="00b1601b"/>
    <w:rPr>
      <w:rFonts w:ascii="Consolas" w:hAnsi="Consolas"/>
      <w:i/>
      <w:color w:themeColor="text1" w:val="000000"/>
      <w:sz w:val="16"/>
      <w:shd w:fill="F8F8F8" w:val="clear"/>
    </w:rPr>
  </w:style>
  <w:style w:type="character" w:styleId="BaseNTok" w:customStyle="1">
    <w:name w:val="BaseNTok"/>
    <w:basedOn w:val="VerbatimChar"/>
    <w:qFormat/>
    <w:rsid w:val="00b00530"/>
    <w:rPr>
      <w:rFonts w:ascii="Consolas" w:hAnsi="Consolas"/>
      <w:i w:val="false"/>
      <w:color w:val="0000CF"/>
      <w:sz w:val="18"/>
      <w:shd w:fill="F8F8F8" w:val="clear"/>
    </w:rPr>
  </w:style>
  <w:style w:type="character" w:styleId="FloatTok" w:customStyle="1">
    <w:name w:val="FloatTok"/>
    <w:basedOn w:val="VerbatimChar"/>
    <w:qFormat/>
    <w:rsid w:val="00b00530"/>
    <w:rPr>
      <w:rFonts w:ascii="Consolas" w:hAnsi="Consolas"/>
      <w:i w:val="false"/>
      <w:color w:val="0000CF"/>
      <w:sz w:val="18"/>
      <w:shd w:fill="F8F8F8" w:val="clear"/>
    </w:rPr>
  </w:style>
  <w:style w:type="character" w:styleId="ConstantTok" w:customStyle="1">
    <w:name w:val="ConstantTok"/>
    <w:basedOn w:val="VerbatimChar"/>
    <w:qFormat/>
    <w:rsid w:val="00b00530"/>
    <w:rPr>
      <w:rFonts w:ascii="Consolas" w:hAnsi="Consolas"/>
      <w:i w:val="false"/>
      <w:color w:val="000000"/>
      <w:sz w:val="18"/>
      <w:shd w:fill="F8F8F8" w:val="clear"/>
    </w:rPr>
  </w:style>
  <w:style w:type="character" w:styleId="CharTok" w:customStyle="1">
    <w:name w:val="Char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SpecialCharTok" w:customStyle="1">
    <w:name w:val="SpecialCharTok"/>
    <w:basedOn w:val="VerbatimChar"/>
    <w:qFormat/>
    <w:rsid w:val="00b00530"/>
    <w:rPr>
      <w:rFonts w:ascii="Consolas" w:hAnsi="Consolas"/>
      <w:i w:val="false"/>
      <w:color w:val="000000"/>
      <w:sz w:val="18"/>
      <w:shd w:fill="F8F8F8" w:val="clear"/>
    </w:rPr>
  </w:style>
  <w:style w:type="character" w:styleId="StringTok" w:customStyle="1">
    <w:name w:val="String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VerbatimStringTok" w:customStyle="1">
    <w:name w:val="VerbatimString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SpecialStringTok" w:customStyle="1">
    <w:name w:val="SpecialStringTok"/>
    <w:basedOn w:val="VerbatimChar"/>
    <w:qFormat/>
    <w:rsid w:val="00b00530"/>
    <w:rPr>
      <w:rFonts w:ascii="Consolas" w:hAnsi="Consolas"/>
      <w:i w:val="false"/>
      <w:color w:val="4E9A06"/>
      <w:sz w:val="18"/>
      <w:shd w:fill="F8F8F8" w:val="clear"/>
    </w:rPr>
  </w:style>
  <w:style w:type="character" w:styleId="ImportTok" w:customStyle="1">
    <w:name w:val="Import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CommentTok" w:customStyle="1">
    <w:name w:val="CommentTok"/>
    <w:basedOn w:val="VerbatimChar"/>
    <w:qFormat/>
    <w:rsid w:val="00b00530"/>
    <w:rPr>
      <w:rFonts w:ascii="Consolas" w:hAnsi="Consolas"/>
      <w:i w:val="false"/>
      <w:color w:themeColor="text1" w:val="000000"/>
      <w:sz w:val="18"/>
      <w:shd w:fill="F8F8F8" w:val="clear"/>
    </w:rPr>
  </w:style>
  <w:style w:type="character" w:styleId="DocumentationTok" w:customStyle="1">
    <w:name w:val="Documentation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AnnotationTok" w:customStyle="1">
    <w:name w:val="Annotation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CommentVarTok" w:customStyle="1">
    <w:name w:val="CommentVar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OtherTok" w:customStyle="1">
    <w:name w:val="OtherTok"/>
    <w:basedOn w:val="VerbatimChar"/>
    <w:qFormat/>
    <w:rsid w:val="00b00530"/>
    <w:rPr>
      <w:rFonts w:ascii="Consolas" w:hAnsi="Consolas"/>
      <w:i w:val="false"/>
      <w:color w:themeColor="text1" w:val="000000"/>
      <w:sz w:val="18"/>
      <w:shd w:fill="F8F8F8" w:val="clear"/>
    </w:rPr>
  </w:style>
  <w:style w:type="character" w:styleId="FunctionTok" w:customStyle="1">
    <w:name w:val="FunctionTok"/>
    <w:basedOn w:val="VerbatimChar"/>
    <w:qFormat/>
    <w:rsid w:val="00b00530"/>
    <w:rPr>
      <w:rFonts w:ascii="Consolas" w:hAnsi="Consolas"/>
      <w:i/>
      <w:color w:val="000000"/>
      <w:sz w:val="18"/>
      <w:shd w:fill="F8F8F8" w:val="clear"/>
    </w:rPr>
  </w:style>
  <w:style w:type="character" w:styleId="VariableTok" w:customStyle="1">
    <w:name w:val="VariableTok"/>
    <w:basedOn w:val="VerbatimChar"/>
    <w:qFormat/>
    <w:rsid w:val="00b00530"/>
    <w:rPr>
      <w:rFonts w:ascii="Consolas" w:hAnsi="Consolas"/>
      <w:i w:val="false"/>
      <w:color w:val="000000"/>
      <w:sz w:val="18"/>
      <w:shd w:fill="F8F8F8" w:val="clear"/>
    </w:rPr>
  </w:style>
  <w:style w:type="character" w:styleId="ControlFlowTok" w:customStyle="1">
    <w:name w:val="ControlFlowTok"/>
    <w:basedOn w:val="VerbatimChar"/>
    <w:qFormat/>
    <w:rsid w:val="00b00530"/>
    <w:rPr>
      <w:rFonts w:ascii="Consolas" w:hAnsi="Consolas"/>
      <w:b/>
      <w:i w:val="false"/>
      <w:color w:val="204A87"/>
      <w:sz w:val="18"/>
      <w:shd w:fill="F8F8F8" w:val="clear"/>
    </w:rPr>
  </w:style>
  <w:style w:type="character" w:styleId="OperatorTok" w:customStyle="1">
    <w:name w:val="OperatorTok"/>
    <w:basedOn w:val="VerbatimChar"/>
    <w:qFormat/>
    <w:rsid w:val="00b00530"/>
    <w:rPr>
      <w:rFonts w:ascii="Consolas" w:hAnsi="Consolas"/>
      <w:b/>
      <w:i w:val="false"/>
      <w:color w:val="CE5C00"/>
      <w:sz w:val="18"/>
      <w:shd w:fill="F8F8F8" w:val="clear"/>
    </w:rPr>
  </w:style>
  <w:style w:type="character" w:styleId="BuiltInTok" w:customStyle="1">
    <w:name w:val="BuiltIn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ExtensionTok" w:customStyle="1">
    <w:name w:val="Extension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PreprocessorTok" w:customStyle="1">
    <w:name w:val="PreprocessorTok"/>
    <w:basedOn w:val="VerbatimChar"/>
    <w:qFormat/>
    <w:rsid w:val="00b00530"/>
    <w:rPr>
      <w:rFonts w:ascii="Consolas" w:hAnsi="Consolas"/>
      <w:i/>
      <w:color w:val="8F5902"/>
      <w:sz w:val="18"/>
      <w:shd w:fill="F8F8F8" w:val="clear"/>
    </w:rPr>
  </w:style>
  <w:style w:type="character" w:styleId="AttributeTok" w:customStyle="1">
    <w:name w:val="AttributeTok"/>
    <w:basedOn w:val="VerbatimChar"/>
    <w:qFormat/>
    <w:rsid w:val="00b00530"/>
    <w:rPr>
      <w:rFonts w:ascii="Consolas" w:hAnsi="Consolas"/>
      <w:i w:val="false"/>
      <w:color w:val="C4A000"/>
      <w:sz w:val="18"/>
      <w:shd w:fill="F8F8F8" w:val="clear"/>
    </w:rPr>
  </w:style>
  <w:style w:type="character" w:styleId="RegionMarkerTok" w:customStyle="1">
    <w:name w:val="RegionMarker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InformationTok" w:customStyle="1">
    <w:name w:val="Information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WarningTok" w:customStyle="1">
    <w:name w:val="WarningTok"/>
    <w:basedOn w:val="VerbatimChar"/>
    <w:qFormat/>
    <w:rsid w:val="00b00530"/>
    <w:rPr>
      <w:rFonts w:ascii="Consolas" w:hAnsi="Consolas"/>
      <w:b/>
      <w:i/>
      <w:color w:val="8F5902"/>
      <w:sz w:val="18"/>
      <w:shd w:fill="F8F8F8" w:val="clear"/>
    </w:rPr>
  </w:style>
  <w:style w:type="character" w:styleId="AlertTok" w:customStyle="1">
    <w:name w:val="AlertTok"/>
    <w:basedOn w:val="VerbatimChar"/>
    <w:qFormat/>
    <w:rsid w:val="00b00530"/>
    <w:rPr>
      <w:rFonts w:ascii="Consolas" w:hAnsi="Consolas"/>
      <w:i w:val="false"/>
      <w:color w:val="EF2929"/>
      <w:sz w:val="18"/>
      <w:shd w:fill="F8F8F8" w:val="clear"/>
    </w:rPr>
  </w:style>
  <w:style w:type="character" w:styleId="ErrorTok" w:customStyle="1">
    <w:name w:val="ErrorTok"/>
    <w:basedOn w:val="VerbatimChar"/>
    <w:qFormat/>
    <w:rsid w:val="00b00530"/>
    <w:rPr>
      <w:rFonts w:ascii="Consolas" w:hAnsi="Consolas"/>
      <w:b/>
      <w:i w:val="false"/>
      <w:color w:val="A40000"/>
      <w:sz w:val="18"/>
      <w:shd w:fill="F8F8F8" w:val="clear"/>
    </w:rPr>
  </w:style>
  <w:style w:type="character" w:styleId="NormalTok" w:customStyle="1">
    <w:name w:val="NormalTok"/>
    <w:basedOn w:val="VerbatimChar"/>
    <w:qFormat/>
    <w:rsid w:val="00b00530"/>
    <w:rPr>
      <w:rFonts w:ascii="Consolas" w:hAnsi="Consolas"/>
      <w:i w:val="false"/>
      <w:sz w:val="18"/>
      <w:shd w:fill="F8F8F8" w:val="clear"/>
    </w:rPr>
  </w:style>
  <w:style w:type="character" w:styleId="BodyTextChar" w:customStyle="1">
    <w:name w:val="Body Text Char"/>
    <w:basedOn w:val="DefaultParagraphFont"/>
    <w:qFormat/>
    <w:rsid w:val="0098354d"/>
    <w:rPr>
      <w:rFonts w:ascii="Arial" w:hAnsi="Arial"/>
      <w:sz w:val="22"/>
    </w:rPr>
  </w:style>
  <w:style w:type="character" w:styleId="BalloonTextChar" w:customStyle="1">
    <w:name w:val="Balloon Text Char"/>
    <w:basedOn w:val="DefaultParagraphFont"/>
    <w:link w:val="BalloonText"/>
    <w:qFormat/>
    <w:rsid w:val="00a70c7c"/>
    <w:rPr>
      <w:rFonts w:ascii="Calibri" w:hAnsi="Calibri" w:cs="Times New Roman" w:asciiTheme="majorHAnsi" w:hAnsiTheme="majorHAnsi"/>
      <w:sz w:val="18"/>
      <w:szCs w:val="18"/>
    </w:rPr>
  </w:style>
  <w:style w:type="character" w:styleId="BodyText2Char" w:customStyle="1">
    <w:name w:val="Body Text 2 Char"/>
    <w:basedOn w:val="DefaultParagraphFont"/>
    <w:link w:val="BodyText2"/>
    <w:qFormat/>
    <w:rsid w:val="00a70c7c"/>
    <w:rPr>
      <w:rFonts w:ascii="Arial" w:hAnsi="Arial"/>
      <w:sz w:val="22"/>
    </w:rPr>
  </w:style>
  <w:style w:type="character" w:styleId="BodyText3Char" w:customStyle="1">
    <w:name w:val="Body Text 3 Char"/>
    <w:basedOn w:val="DefaultParagraphFont"/>
    <w:link w:val="BodyText3"/>
    <w:qFormat/>
    <w:rsid w:val="00a70c7c"/>
    <w:rPr>
      <w:rFonts w:ascii="Arial" w:hAnsi="Arial"/>
      <w:sz w:val="22"/>
      <w:szCs w:val="16"/>
    </w:rPr>
  </w:style>
  <w:style w:type="character" w:styleId="BodyTextFirstIndentChar" w:customStyle="1">
    <w:name w:val="Body Text First Indent Char"/>
    <w:basedOn w:val="BodyTextChar"/>
    <w:semiHidden/>
    <w:qFormat/>
    <w:rsid w:val="00a70c7c"/>
    <w:rPr>
      <w:rFonts w:ascii="Arial" w:hAnsi="Arial"/>
      <w:sz w:val="22"/>
    </w:rPr>
  </w:style>
  <w:style w:type="character" w:styleId="BodyTextIndent3Char" w:customStyle="1">
    <w:name w:val="Body Text Indent 3 Char"/>
    <w:basedOn w:val="DefaultParagraphFont"/>
    <w:link w:val="BodyTextIndent3"/>
    <w:semiHidden/>
    <w:qFormat/>
    <w:rsid w:val="00a70c7c"/>
    <w:rPr>
      <w:rFonts w:ascii="Arial" w:hAnsi="Arial"/>
      <w:sz w:val="22"/>
      <w:szCs w:val="16"/>
    </w:rPr>
  </w:style>
  <w:style w:type="character" w:styleId="BodyTextIndent2Char" w:customStyle="1">
    <w:name w:val="Body Text Indent 2 Char"/>
    <w:basedOn w:val="DefaultParagraphFont"/>
    <w:link w:val="BodyTextIndent2"/>
    <w:semiHidden/>
    <w:qFormat/>
    <w:rsid w:val="00a70c7c"/>
    <w:rPr>
      <w:rFonts w:ascii="Arial" w:hAnsi="Arial"/>
      <w:sz w:val="22"/>
    </w:rPr>
  </w:style>
  <w:style w:type="character" w:styleId="FooterChar" w:customStyle="1">
    <w:name w:val="Footer Char"/>
    <w:basedOn w:val="DefaultParagraphFont"/>
    <w:link w:val="Footer"/>
    <w:qFormat/>
    <w:rsid w:val="00a0085e"/>
    <w:rPr>
      <w:rFonts w:ascii="Arial" w:hAnsi="Arial"/>
      <w:sz w:val="16"/>
    </w:rPr>
  </w:style>
  <w:style w:type="character" w:styleId="PageNumber">
    <w:name w:val="page number"/>
    <w:basedOn w:val="DefaultParagraphFont"/>
    <w:semiHidden/>
    <w:unhideWhenUsed/>
    <w:rsid w:val="00a0085e"/>
    <w:rPr/>
  </w:style>
  <w:style w:type="character" w:styleId="HeaderChar" w:customStyle="1">
    <w:name w:val="Header Char"/>
    <w:basedOn w:val="DefaultParagraphFont"/>
    <w:link w:val="Header"/>
    <w:qFormat/>
    <w:rsid w:val="00a0085e"/>
    <w:rPr>
      <w:rFonts w:ascii="Arial" w:hAnsi="Arial"/>
      <w:sz w:val="22"/>
    </w:rPr>
  </w:style>
  <w:style w:type="character" w:styleId="MacroTextChar" w:customStyle="1">
    <w:name w:val="Macro Text Char"/>
    <w:basedOn w:val="DefaultParagraphFont"/>
    <w:link w:val="MacroText"/>
    <w:semiHidden/>
    <w:qFormat/>
    <w:rsid w:val="00b00530"/>
    <w:rPr>
      <w:rFonts w:ascii="Consolas" w:hAnsi="Consolas" w:cs="Consolas"/>
      <w:sz w:val="18"/>
      <w:szCs w:val="20"/>
    </w:rPr>
  </w:style>
  <w:style w:type="character" w:styleId="PlainTextChar" w:customStyle="1">
    <w:name w:val="Plain Text Char"/>
    <w:basedOn w:val="DefaultParagraphFont"/>
    <w:link w:val="PlainText"/>
    <w:semiHidden/>
    <w:qFormat/>
    <w:rsid w:val="00b00530"/>
    <w:rPr>
      <w:rFonts w:ascii="Consolas" w:hAnsi="Consolas" w:cs="Consolas"/>
      <w:sz w:val="18"/>
      <w:szCs w:val="21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link w:val="BodyTextChar"/>
    <w:qFormat/>
    <w:rsid w:val="0098354d"/>
    <w:pPr>
      <w:spacing w:lineRule="auto" w:line="360" w:before="180" w:after="18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link w:val="CaptionChar"/>
    <w:qFormat/>
    <w:rsid w:val="00a70c7c"/>
    <w:pPr/>
    <w:rPr>
      <w:i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rsid w:val="0011024e"/>
    <w:pPr>
      <w:spacing w:before="36" w:after="36"/>
    </w:pPr>
    <w:rPr>
      <w:sz w:val="20"/>
    </w:rPr>
  </w:style>
  <w:style w:type="paragraph" w:styleId="Title">
    <w:name w:val="Title"/>
    <w:basedOn w:val="Normal"/>
    <w:next w:val="BodyText"/>
    <w:qFormat/>
    <w:rsid w:val="0098354d"/>
    <w:pPr>
      <w:keepNext w:val="true"/>
      <w:keepLines/>
      <w:spacing w:before="0" w:after="200"/>
      <w:jc w:val="center"/>
    </w:pPr>
    <w:rPr>
      <w:rFonts w:eastAsia="" w:cs="" w:cstheme="majorBidi" w:eastAsiaTheme="majorEastAsia"/>
      <w:b/>
      <w:bCs/>
      <w:color w:themeColor="text1" w:val="000000"/>
      <w:szCs w:val="36"/>
    </w:rPr>
  </w:style>
  <w:style w:type="paragraph" w:styleId="Subtitle">
    <w:name w:val="Subtitle"/>
    <w:basedOn w:val="Title"/>
    <w:next w:val="BodyText"/>
    <w:qFormat/>
    <w:pPr>
      <w:spacing w:before="240" w:after="240"/>
    </w:pPr>
    <w:rPr>
      <w:sz w:val="30"/>
      <w:szCs w:val="30"/>
    </w:rPr>
  </w:style>
  <w:style w:type="paragraph" w:styleId="Author" w:customStyle="1">
    <w:name w:val="Author"/>
    <w:next w:val="BodyText"/>
    <w:qFormat/>
    <w:rsid w:val="0098354d"/>
    <w:pPr>
      <w:keepNext w:val="true"/>
      <w:keepLines/>
      <w:widowControl/>
      <w:bidi w:val="0"/>
      <w:spacing w:before="40" w:after="220"/>
      <w:jc w:val="center"/>
    </w:pPr>
    <w:rPr>
      <w:rFonts w:ascii="Arial" w:hAnsi="Arial" w:eastAsia="Cambria" w:cs="" w:cstheme="minorBidi" w:eastAsiaTheme="minorHAnsi"/>
      <w:color w:val="auto"/>
      <w:kern w:val="0"/>
      <w:sz w:val="22"/>
      <w:szCs w:val="24"/>
      <w:lang w:val="en-US" w:eastAsia="en-US" w:bidi="ar-SA"/>
    </w:rPr>
  </w:style>
  <w:style w:type="paragraph" w:styleId="Date">
    <w:name w:val="Date"/>
    <w:next w:val="BodyText"/>
    <w:qFormat/>
    <w:rsid w:val="0098354d"/>
    <w:pPr>
      <w:keepNext w:val="true"/>
      <w:keepLines/>
      <w:widowControl/>
      <w:bidi w:val="0"/>
      <w:spacing w:before="0" w:after="220"/>
      <w:jc w:val="center"/>
    </w:pPr>
    <w:rPr>
      <w:rFonts w:ascii="Arial" w:hAnsi="Arial" w:eastAsia="Cambria" w:cs="" w:cstheme="minorBidi" w:eastAsiaTheme="minorHAnsi"/>
      <w:color w:val="auto"/>
      <w:kern w:val="0"/>
      <w:sz w:val="22"/>
      <w:szCs w:val="24"/>
      <w:lang w:val="en-US" w:eastAsia="en-US" w:bidi="ar-SA"/>
    </w:rPr>
  </w:style>
  <w:style w:type="paragraph" w:styleId="Abstract" w:customStyle="1">
    <w:name w:val="Abstract"/>
    <w:basedOn w:val="Normal"/>
    <w:next w:val="BodyText"/>
    <w:qFormat/>
    <w:rsid w:val="0098354d"/>
    <w:pPr>
      <w:keepNext w:val="true"/>
      <w:keepLines/>
      <w:spacing w:lineRule="auto" w:line="360" w:before="220" w:after="220"/>
      <w:ind w:left="720" w:right="720"/>
    </w:pPr>
    <w:rPr>
      <w:sz w:val="20"/>
      <w:szCs w:val="20"/>
    </w:rPr>
  </w:style>
  <w:style w:type="paragraph" w:styleId="Bibliography">
    <w:name w:val="Bibliography"/>
    <w:basedOn w:val="Normal"/>
    <w:qFormat/>
    <w:rsid w:val="00a75392"/>
    <w:pPr>
      <w:spacing w:before="0" w:after="220"/>
      <w:ind w:hanging="720" w:left="720"/>
    </w:pPr>
    <w:rPr/>
  </w:style>
  <w:style w:type="paragraph" w:styleId="BlockText">
    <w:name w:val="Block Text"/>
    <w:basedOn w:val="BodyText"/>
    <w:next w:val="BodyText"/>
    <w:uiPriority w:val="9"/>
    <w:unhideWhenUsed/>
    <w:qFormat/>
    <w:rsid w:val="00d81da6"/>
    <w:pPr>
      <w:pBdr>
        <w:left w:val="single" w:sz="4" w:space="4" w:color="000000"/>
      </w:pBdr>
      <w:spacing w:before="0" w:after="0"/>
      <w:ind w:left="475" w:right="475"/>
    </w:pPr>
    <w:rPr>
      <w:i/>
    </w:rPr>
  </w:style>
  <w:style w:type="paragraph" w:styleId="FootnoteText">
    <w:name w:val="footnote text"/>
    <w:basedOn w:val="Normal"/>
    <w:uiPriority w:val="9"/>
    <w:unhideWhenUsed/>
    <w:qFormat/>
    <w:rsid w:val="00cc7ff9"/>
    <w:pPr/>
    <w:rPr>
      <w:sz w:val="18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rsid w:val="002c20de"/>
    <w:pPr>
      <w:spacing w:before="100" w:after="220"/>
    </w:pPr>
    <w:rPr>
      <w:b/>
      <w:i w:val="false"/>
      <w:sz w:val="20"/>
    </w:rPr>
  </w:style>
  <w:style w:type="paragraph" w:styleId="Figure" w:customStyle="1">
    <w:name w:val="Figure"/>
    <w:basedOn w:val="Normal"/>
    <w:qFormat/>
    <w:rsid w:val="00e2640b"/>
    <w:pPr>
      <w:jc w:val="center"/>
    </w:pPr>
    <w:rPr/>
  </w:style>
  <w:style w:type="paragraph" w:styleId="CaptionedFigure" w:customStyle="1">
    <w:name w:val="Captioned Figure"/>
    <w:basedOn w:val="Figure"/>
    <w:qFormat/>
    <w:rsid w:val="00e2640b"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rsid w:val="00c80241"/>
    <w:pPr>
      <w:spacing w:lineRule="auto" w:line="259" w:before="220" w:after="120"/>
      <w:outlineLvl w:val="9"/>
    </w:pPr>
    <w:rPr>
      <w:bCs w:val="false"/>
    </w:rPr>
  </w:style>
  <w:style w:type="paragraph" w:styleId="SourceCode" w:customStyle="1">
    <w:name w:val="Source Code"/>
    <w:basedOn w:val="Normal"/>
    <w:link w:val="VerbatimChar"/>
    <w:qFormat/>
    <w:rsid w:val="00a11931"/>
    <w:pPr>
      <w:shd w:val="clear" w:color="auto" w:fill="F8F8F8"/>
    </w:pPr>
    <w:rPr>
      <w:rFonts w:ascii="Consolas" w:hAnsi="Consolas"/>
      <w:sz w:val="18"/>
    </w:rPr>
  </w:style>
  <w:style w:type="paragraph" w:styleId="BalloonText">
    <w:name w:val="Balloon Text"/>
    <w:basedOn w:val="Normal"/>
    <w:link w:val="BalloonTextChar"/>
    <w:unhideWhenUsed/>
    <w:qFormat/>
    <w:rsid w:val="00a70c7c"/>
    <w:pPr/>
    <w:rPr>
      <w:rFonts w:ascii="Calibri" w:hAnsi="Calibri" w:cs="Times New Roman" w:asciiTheme="majorHAnsi" w:hAnsiTheme="majorHAnsi"/>
      <w:sz w:val="18"/>
      <w:szCs w:val="18"/>
    </w:rPr>
  </w:style>
  <w:style w:type="paragraph" w:styleId="BodyText2">
    <w:name w:val="Body Text 2"/>
    <w:basedOn w:val="Normal"/>
    <w:link w:val="BodyText2Char"/>
    <w:qFormat/>
    <w:rsid w:val="00a70c7c"/>
    <w:pPr/>
    <w:rPr/>
  </w:style>
  <w:style w:type="paragraph" w:styleId="BodyText3">
    <w:name w:val="Body Text 3"/>
    <w:basedOn w:val="Normal"/>
    <w:link w:val="BodyText3Char"/>
    <w:qFormat/>
    <w:rsid w:val="00a70c7c"/>
    <w:pPr/>
    <w:rPr>
      <w:szCs w:val="16"/>
    </w:rPr>
  </w:style>
  <w:style w:type="paragraph" w:styleId="BodyTextFirstIndent">
    <w:name w:val="Body Text First Indent"/>
    <w:basedOn w:val="BodyText"/>
    <w:link w:val="BodyTextFirstIndentChar"/>
    <w:semiHidden/>
    <w:unhideWhenUsed/>
    <w:rsid w:val="00a70c7c"/>
    <w:pPr>
      <w:spacing w:before="0" w:after="0"/>
      <w:ind w:firstLine="360"/>
    </w:pPr>
    <w:rPr/>
  </w:style>
  <w:style w:type="paragraph" w:styleId="BodyTextIndent3">
    <w:name w:val="Body Text Indent 3"/>
    <w:basedOn w:val="Normal"/>
    <w:link w:val="BodyTextIndent3Char"/>
    <w:semiHidden/>
    <w:unhideWhenUsed/>
    <w:qFormat/>
    <w:rsid w:val="00a70c7c"/>
    <w:pPr>
      <w:ind w:left="360"/>
    </w:pPr>
    <w:rPr>
      <w:szCs w:val="16"/>
    </w:rPr>
  </w:style>
  <w:style w:type="paragraph" w:styleId="BodyTextIndent2">
    <w:name w:val="Body Text Indent 2"/>
    <w:basedOn w:val="Normal"/>
    <w:link w:val="BodyTextIndent2Char"/>
    <w:semiHidden/>
    <w:unhideWhenUsed/>
    <w:qFormat/>
    <w:rsid w:val="00a70c7c"/>
    <w:pPr>
      <w:ind w:left="360"/>
    </w:pPr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FooterChar"/>
    <w:unhideWhenUsed/>
    <w:rsid w:val="00a0085e"/>
    <w:pPr>
      <w:tabs>
        <w:tab w:val="clear" w:pos="720"/>
        <w:tab w:val="center" w:pos="4680" w:leader="none"/>
        <w:tab w:val="right" w:pos="9360" w:leader="none"/>
      </w:tabs>
    </w:pPr>
    <w:rPr>
      <w:sz w:val="16"/>
    </w:rPr>
  </w:style>
  <w:style w:type="paragraph" w:styleId="Header">
    <w:name w:val="header"/>
    <w:basedOn w:val="Normal"/>
    <w:link w:val="HeaderChar"/>
    <w:unhideWhenUsed/>
    <w:rsid w:val="00a0085e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TOC2">
    <w:name w:val="toc 2"/>
    <w:basedOn w:val="Normal"/>
    <w:next w:val="Normal"/>
    <w:autoRedefine/>
    <w:uiPriority w:val="39"/>
    <w:unhideWhenUsed/>
    <w:rsid w:val="00a11931"/>
    <w:pPr>
      <w:spacing w:before="0" w:after="100"/>
      <w:ind w:left="220"/>
    </w:pPr>
    <w:rPr/>
  </w:style>
  <w:style w:type="paragraph" w:styleId="TOC3">
    <w:name w:val="toc 3"/>
    <w:basedOn w:val="Normal"/>
    <w:next w:val="Normal"/>
    <w:autoRedefine/>
    <w:uiPriority w:val="39"/>
    <w:unhideWhenUsed/>
    <w:rsid w:val="00a11931"/>
    <w:pPr>
      <w:spacing w:before="0" w:after="100"/>
      <w:ind w:left="440"/>
    </w:pPr>
    <w:rPr/>
  </w:style>
  <w:style w:type="paragraph" w:styleId="MacroText">
    <w:name w:val="macro"/>
    <w:link w:val="MacroTextChar"/>
    <w:semiHidden/>
    <w:unhideWhenUsed/>
    <w:qFormat/>
    <w:rsid w:val="00b00530"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bidi w:val="0"/>
      <w:spacing w:before="0" w:after="0"/>
      <w:jc w:val="left"/>
    </w:pPr>
    <w:rPr>
      <w:rFonts w:ascii="Consolas" w:hAnsi="Consolas" w:cs="Consolas" w:eastAsia="Cambria" w:eastAsiaTheme="minorHAnsi"/>
      <w:color w:val="auto"/>
      <w:kern w:val="0"/>
      <w:sz w:val="18"/>
      <w:szCs w:val="20"/>
      <w:lang w:val="en-US" w:eastAsia="en-US" w:bidi="ar-SA"/>
    </w:rPr>
  </w:style>
  <w:style w:type="paragraph" w:styleId="PlainText">
    <w:name w:val="Plain Text"/>
    <w:basedOn w:val="Normal"/>
    <w:link w:val="PlainTextChar"/>
    <w:semiHidden/>
    <w:unhideWhenUsed/>
    <w:qFormat/>
    <w:rsid w:val="00b00530"/>
    <w:pPr/>
    <w:rPr>
      <w:rFonts w:ascii="Consolas" w:hAnsi="Consolas" w:cs="Consolas"/>
      <w:sz w:val="18"/>
      <w:szCs w:val="21"/>
    </w:rPr>
  </w:style>
  <w:style w:type="paragraph" w:styleId="center" w:customStyle="1">
    <w:name w:val="center"/>
    <w:basedOn w:val="BodyText"/>
    <w:qFormat/>
    <w:rsid w:val="00977e86"/>
    <w:pPr>
      <w:jc w:val="center"/>
    </w:pPr>
    <w:rPr/>
  </w:style>
  <w:style w:type="paragraph" w:styleId="footnotesize" w:customStyle="1">
    <w:name w:val="footnotesize"/>
    <w:basedOn w:val="BodyText"/>
    <w:qFormat/>
    <w:rsid w:val="00da6f82"/>
    <w:pPr/>
    <w:rPr>
      <w:sz w:val="16"/>
    </w:rPr>
  </w:style>
  <w:style w:type="paragraph" w:styleId="detailbox" w:customStyle="1">
    <w:name w:val="detailbox"/>
    <w:basedOn w:val="BodyText"/>
    <w:qFormat/>
    <w:rsid w:val="0071606c"/>
    <w:pPr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shd w:val="clear" w:color="auto" w:fill="D9D9D9" w:themeFill="background1" w:themeFillShade="d9"/>
    </w:pPr>
    <w:rPr>
      <w:sz w:val="18"/>
    </w:rPr>
  </w:style>
  <w:style w:type="paragraph" w:styleId="Author-Name" w:customStyle="1">
    <w:name w:val="Author-Name"/>
    <w:basedOn w:val="FirstParagraph"/>
    <w:qFormat/>
    <w:rsid w:val="009e1494"/>
    <w:pPr>
      <w:spacing w:lineRule="auto" w:line="240" w:before="100" w:after="0"/>
      <w:ind w:left="1440" w:right="1440"/>
      <w:jc w:val="center"/>
    </w:pPr>
    <w:rPr>
      <w:b/>
      <w:bCs/>
    </w:rPr>
  </w:style>
  <w:style w:type="paragraph" w:styleId="Author-Affiliation" w:customStyle="1">
    <w:name w:val="Author-Affiliation"/>
    <w:basedOn w:val="Author-Name"/>
    <w:qFormat/>
    <w:rsid w:val="009e1494"/>
    <w:pPr>
      <w:spacing w:before="0" w:after="0"/>
    </w:pPr>
    <w:rPr>
      <w:b w:val="false"/>
    </w:rPr>
  </w:style>
  <w:style w:type="paragraph" w:styleId="Author-email" w:customStyle="1">
    <w:name w:val="Author-email"/>
    <w:basedOn w:val="Author-Affiliation"/>
    <w:qFormat/>
    <w:rsid w:val="008f24ce"/>
    <w:pPr/>
    <w:rPr>
      <w:i/>
      <w:iCs/>
    </w:rPr>
  </w:style>
  <w:style w:type="paragraph" w:styleId="Author-ORCID" w:customStyle="1">
    <w:name w:val="Author-ORCID"/>
    <w:basedOn w:val="BodyText"/>
    <w:qFormat/>
    <w:rsid w:val="00965f7e"/>
    <w:pPr>
      <w:spacing w:lineRule="auto" w:line="240" w:before="0" w:after="0"/>
      <w:ind w:left="1440" w:right="1440"/>
      <w:jc w:val="center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table" w:styleId="ListTable3-Accent2">
    <w:name w:val="List Table 3 Accent 2"/>
    <w:basedOn w:val="TableNormal"/>
    <w:uiPriority w:val="48"/>
    <w:rsid w:val="002c2286"/>
    <w:pPr>
      <w:spacing w:after="0"/>
    </w:pPr>
    <w:tblPr>
      <w:tblStyleRowBandSize w:val="1"/>
      <w:tblStyleColBandSize w:val="1"/>
      <w:tblBorders>
        <w:top w:val="single" w:color="C0504D" w:themeColor="accent2" w:sz="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color="C0504D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C0504D" w:themeColor="accent2" w:sz="4" w:space="0"/>
          <w:right w:val="single" w:color="C0504D" w:themeColor="accent2" w:sz="4" w:space="0"/>
        </w:tcBorders>
      </w:tcPr>
    </w:tblStylePr>
    <w:tblStylePr w:type="band1Horz">
      <w:tblPr/>
      <w:tcPr>
        <w:tcBorders>
          <w:top w:val="single" w:color="C0504D" w:themeColor="accent2" w:sz="4" w:space="0"/>
          <w:bottom w:val="single" w:color="C0504D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C0504D" w:themeColor="accent2" w:sz="4" w:space="0"/>
          <w:left w:val="nil"/>
        </w:tcBorders>
      </w:tcPr>
    </w:tblStylePr>
    <w:tblStylePr w:type="swCell">
      <w:tblPr/>
      <w:tcPr>
        <w:tcBorders>
          <w:top w:val="double" w:color="C0504D" w:themeColor="accent2" w:sz="4" w:space="0"/>
          <w:right w:val="nil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LibreOffice/26.2.5.2$MacOSX_X86_64 LibreOffice_project/cd7284b4cbbfeb507e630c1aac019f4157393acb</Application>
  <AppVersion>15.0000</AppVersion>
  <Pages>14</Pages>
  <Words>6129</Words>
  <Characters>34936</Characters>
  <CharactersWithSpaces>40984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2026-09-23T15:03:44Z</dcterms:created>
  <dc:creator>Richard N. Jones; Jennifer J. Manly; Douglas Tommet; Lindsay Kobayashi; Lindsay H. Ryan; Ryan J. McCammon; Steven G. Heeringa; David Weir; Kenneth M. Langa</dc:creator>
  <dc:description/>
  <dc:language>en-US</dc:language>
  <cp:lastModifiedBy/>
  <dcterms:modified xsi:type="dcterms:W3CDTF">2026-09-23T15:03:44Z</dcterms:modified>
  <cp:revision>0</cp:revision>
  <dc:subject/>
  <dc:title>Two HRS Core cognitive classification methods informed by HRS/HCAP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2026-09-23</vt:lpwstr>
  </property>
  <property fmtid="{D5CDD505-2E9C-101B-9397-08002B2CF9AE}" pid="8" name="editor">
    <vt:lpwstr>source</vt:lpwstr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