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3: Comparisons with other study classifications</w:t>
      </w:r>
    </w:p>
    <w:p>
      <w:pPr>
        <w:pStyle w:val="Date"/>
        <w:keepNext w:val="true"/>
        <w:keepLines/>
        <w:widowControl/>
        <w:bidi w:val="0"/>
        <w:spacing w:before="0" w:after="220"/>
        <w:jc w:val="center"/>
        <w:rPr/>
      </w:pPr>
      <w:r>
        <w:rPr/>
        <w:t>2026-10-22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2026-10-22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2026-10-22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2026-10-22T18:24:15Z</dcterms:created>
  <dc:creator/>
  <dc:description/>
  <dc:language>en-US</dc:language>
  <cp:lastModifiedBy/>
  <dcterms:modified xsi:type="dcterms:W3CDTF">2026-10-22T18:24:15Z</dcterms:modified>
  <cp:revision>0</cp:revision>
  <dc:subject/>
  <dc:title>Appendix 3: Comparisons with other study classifications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2026-10-22</vt:lpwstr>
  </property>
  <property fmtid="{D5CDD505-2E9C-101B-9397-08002B2CF9AE}" pid="4" name="editor">
    <vt:lpwstr>source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