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Two HRS Core cognitive classification methods informed by HRS/HCAP</w:t>
      </w:r>
    </w:p>
    <w:p>
      <w:pPr>
        <w:pStyle w:val="Author"/>
        <w:rPr/>
      </w:pPr>
      <w:r>
        <w:rPr/>
        <w:t>Richard N. Jones</w:t>
      </w:r>
    </w:p>
    <w:p>
      <w:pPr>
        <w:pStyle w:val="Author"/>
        <w:rPr/>
      </w:pPr>
      <w:r>
        <w:rPr/>
        <w:t>Jennifer J. Manly</w:t>
      </w:r>
    </w:p>
    <w:p>
      <w:pPr>
        <w:pStyle w:val="Author"/>
        <w:rPr/>
      </w:pPr>
      <w:r>
        <w:rPr/>
        <w:t>Douglas Tommet</w:t>
      </w:r>
    </w:p>
    <w:p>
      <w:pPr>
        <w:pStyle w:val="Author"/>
        <w:rPr/>
      </w:pPr>
      <w:r>
        <w:rPr/>
        <w:t>Lindsay Kobayashi</w:t>
      </w:r>
    </w:p>
    <w:p>
      <w:pPr>
        <w:pStyle w:val="Author"/>
        <w:rPr/>
      </w:pPr>
      <w:r>
        <w:rPr/>
        <w:t>Lindsay H. Ryan</w:t>
      </w:r>
    </w:p>
    <w:p>
      <w:pPr>
        <w:pStyle w:val="Author"/>
        <w:rPr/>
      </w:pPr>
      <w:r>
        <w:rPr/>
        <w:t>Ryan J. McCammon</w:t>
      </w:r>
    </w:p>
    <w:p>
      <w:pPr>
        <w:pStyle w:val="Author"/>
        <w:rPr/>
      </w:pPr>
      <w:r>
        <w:rPr/>
        <w:t>Steven G. Heeringa</w:t>
      </w:r>
    </w:p>
    <w:p>
      <w:pPr>
        <w:pStyle w:val="Author"/>
        <w:rPr/>
      </w:pPr>
      <w:r>
        <w:rPr/>
        <w:t>David Weir</w:t>
      </w:r>
    </w:p>
    <w:p>
      <w:pPr>
        <w:pStyle w:val="Author"/>
        <w:rPr/>
      </w:pPr>
      <w:r>
        <w:rPr/>
        <w:t>Kenneth M. Langa</w:t>
      </w:r>
    </w:p>
    <w:p>
      <w:pPr>
        <w:pStyle w:val="Date"/>
        <w:rPr/>
      </w:pPr>
      <w:r>
        <w:rPr/>
        <w:t>2026-10-22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bookmarkStart w:id="0" w:name="abstract"/>
      <w:r>
        <w:rPr/>
        <w:t>Abstract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Importance:</w:t>
      </w:r>
      <w:r>
        <w:rPr/>
        <w:t xml:space="preserve"> population cognitive classification in HRS Core; dementia and MCI surveillance; limited assessment battery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Objective:</w:t>
      </w:r>
      <w:r>
        <w:rPr/>
        <w:t xml:space="preserve"> describe two HRS Core methods calibrated to HRS/HCAP (core algorithm, PMM); compare with the Manly-Jones (HCAP) algorithm, consensus, Langa-Weir, and Hudomiet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Design:</w:t>
      </w:r>
      <w:r>
        <w:rPr/>
        <w:t xml:space="preserve"> 2016 HRS Core classification in HRS/HCAP participants; consensus-panel secondary comparator</w:t>
      </w:r>
    </w:p>
    <w:p>
      <w:pPr>
        <w:pStyle w:val="Compact"/>
        <w:numPr>
          <w:ilvl w:val="1"/>
          <w:numId w:val="1"/>
        </w:numPr>
        <w:rPr/>
      </w:pPr>
      <w:r>
        <w:rPr/>
        <w:t>Study sample: HRS/HCAP 2016 participants, N = 3,496</w:t>
      </w:r>
    </w:p>
    <w:p>
      <w:pPr>
        <w:pStyle w:val="Compact"/>
        <w:numPr>
          <w:ilvl w:val="1"/>
          <w:numId w:val="1"/>
        </w:numPr>
        <w:rPr/>
      </w:pPr>
      <w:r>
        <w:rPr/>
        <w:t>[Provenance: R/MS_MAIN/MS_001_analysis_cohort.R]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Methods:</w:t>
      </w:r>
      <w:r>
        <w:rPr/>
        <w:t xml:space="preserve"> Core algorithm; PMM</w:t>
      </w:r>
    </w:p>
    <w:p>
      <w:pPr>
        <w:pStyle w:val="Compact"/>
        <w:numPr>
          <w:ilvl w:val="1"/>
          <w:numId w:val="1"/>
        </w:numPr>
        <w:rPr/>
      </w:pPr>
      <w:r>
        <w:rPr/>
        <w:t>Primary comparator: Manly-Jones algorithm</w:t>
      </w:r>
    </w:p>
    <w:p>
      <w:pPr>
        <w:pStyle w:val="Compact"/>
        <w:numPr>
          <w:ilvl w:val="1"/>
          <w:numId w:val="1"/>
        </w:numPr>
        <w:rPr/>
      </w:pPr>
      <w:r>
        <w:rPr/>
        <w:t>Secondary comparators: (1) HCAP consensus; (2) Langa-Weir; (3) Hudomiet classification</w:t>
      </w:r>
    </w:p>
    <w:p>
      <w:pPr>
        <w:pStyle w:val="Compact"/>
        <w:numPr>
          <w:ilvl w:val="1"/>
          <w:numId w:val="1"/>
        </w:numPr>
        <w:rPr/>
      </w:pPr>
      <w:r>
        <w:rPr/>
        <w:t>Statistical analysis: dementia versus non-dementia kappa; 3-class quadratic weighted kappa (Normal, MCI, Dementia); all statistics other than frequencies use complex sampling weights</w:t>
      </w:r>
    </w:p>
    <w:p>
      <w:pPr>
        <w:pStyle w:val="Compact"/>
        <w:numPr>
          <w:ilvl w:val="1"/>
          <w:numId w:val="1"/>
        </w:numPr>
        <w:rPr/>
      </w:pPr>
      <w:r>
        <w:rPr/>
        <w:t>[Provenance: R/MS_MAIN/MS_010_results_objects.R]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Results:</w:t>
      </w:r>
    </w:p>
    <w:p>
      <w:pPr>
        <w:pStyle w:val="Compact"/>
        <w:numPr>
          <w:ilvl w:val="1"/>
          <w:numId w:val="1"/>
        </w:numPr>
        <w:rPr/>
      </w:pPr>
      <w:r>
        <w:rPr/>
        <w:t>Dementia/non-dementia kappa</w:t>
      </w:r>
    </w:p>
    <w:p>
      <w:pPr>
        <w:pStyle w:val="Compact"/>
        <w:numPr>
          <w:ilvl w:val="2"/>
          <w:numId w:val="1"/>
        </w:numPr>
        <w:rPr/>
      </w:pPr>
      <w:r>
        <w:rPr/>
        <w:t>Core algorithm versus Manly-Jones algorithm: 0.337</w:t>
      </w:r>
    </w:p>
    <w:p>
      <w:pPr>
        <w:pStyle w:val="Compact"/>
        <w:numPr>
          <w:ilvl w:val="2"/>
          <w:numId w:val="1"/>
        </w:numPr>
        <w:rPr/>
      </w:pPr>
      <w:r>
        <w:rPr/>
        <w:t>PMM versus Manly-Jones algorithm: 0.302</w:t>
      </w:r>
    </w:p>
    <w:p>
      <w:pPr>
        <w:pStyle w:val="Compact"/>
        <w:numPr>
          <w:ilvl w:val="1"/>
          <w:numId w:val="1"/>
        </w:numPr>
        <w:rPr/>
      </w:pPr>
      <w:r>
        <w:rPr/>
        <w:t>3-class kappa</w:t>
      </w:r>
    </w:p>
    <w:p>
      <w:pPr>
        <w:pStyle w:val="Compact"/>
        <w:numPr>
          <w:ilvl w:val="2"/>
          <w:numId w:val="1"/>
        </w:numPr>
        <w:rPr/>
      </w:pPr>
      <w:r>
        <w:rPr/>
        <w:t>Core algorithm versus Manly-Jones algorithm: 0.501</w:t>
      </w:r>
    </w:p>
    <w:p>
      <w:pPr>
        <w:pStyle w:val="Compact"/>
        <w:numPr>
          <w:ilvl w:val="2"/>
          <w:numId w:val="1"/>
        </w:numPr>
        <w:rPr/>
      </w:pPr>
      <w:r>
        <w:rPr/>
        <w:t>PMM versus Manly-Jones algorithm: 0.37</w:t>
      </w:r>
    </w:p>
    <w:p>
      <w:pPr>
        <w:pStyle w:val="Compact"/>
        <w:numPr>
          <w:ilvl w:val="1"/>
          <w:numId w:val="1"/>
        </w:numPr>
        <w:rPr/>
      </w:pPr>
      <w:r>
        <w:rPr/>
        <w:t>[Provenance: R_objects/A7_100_hcap_tables.rds; R/PMM_110_Comparison_of_Consensus_Langa_Weir.R]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Conclusions and relevance:</w:t>
      </w:r>
      <w:r>
        <w:rPr/>
        <w:t xml:space="preserve"> Two core classification approaches; agreement evidence rather than clinical validation; uncertainty in distinguishing MCI from normal cognition and dementia; limited precision of comparisons with consensus diagnoses because the consensus-panel subsample is small</w:t>
      </w:r>
    </w:p>
    <w:p>
      <w:pPr>
        <w:pStyle w:val="Compact"/>
        <w:numPr>
          <w:ilvl w:val="1"/>
          <w:numId w:val="1"/>
        </w:numPr>
        <w:rPr/>
      </w:pPr>
      <w:r>
        <w:rPr/>
        <w:t>[Provenance: analysis design; inference]</w:t>
      </w:r>
    </w:p>
    <w:p>
      <w:pPr>
        <w:pStyle w:val="FirstParagraph"/>
        <w:rPr/>
      </w:pPr>
      <w:r>
        <w:rPr>
          <w:b/>
          <w:bCs/>
        </w:rPr>
        <w:t>Key terms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Manly-Jones (HCAP) algorithm</w:t>
      </w:r>
      <w:r>
        <w:rPr/>
        <w:t>: c.f. Manly, Jones et al. (2022)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HRS core algorithm</w:t>
      </w:r>
      <w:r>
        <w:rPr/>
        <w:t>: Manly-Jones algorithm adapted to HRS core data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PMM</w:t>
      </w:r>
      <w:r>
        <w:rPr/>
        <w:t>: Profile mixture model using measures collected in the HRS Core, calibrated to the Manly-Jones algorithm and scored in the HRS/HCAP sample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1" w:name="introduction"/>
      <w:r>
        <w:rPr/>
        <w:t>Introduction</w:t>
      </w:r>
    </w:p>
    <w:p>
      <w:pPr>
        <w:pStyle w:val="Compact"/>
        <w:numPr>
          <w:ilvl w:val="0"/>
          <w:numId w:val="1"/>
        </w:numPr>
        <w:rPr/>
      </w:pPr>
      <w:r>
        <w:rPr/>
        <w:t>Population cognitive classification from brief HRS Core assessments</w:t>
      </w:r>
    </w:p>
    <w:p>
      <w:pPr>
        <w:pStyle w:val="Compact"/>
        <w:numPr>
          <w:ilvl w:val="1"/>
          <w:numId w:val="1"/>
        </w:numPr>
        <w:rPr/>
      </w:pPr>
      <w:r>
        <w:rPr/>
        <w:t>Prevalence estimation; etiologic research; trial sampling; policy surveillance</w:t>
      </w:r>
    </w:p>
    <w:p>
      <w:pPr>
        <w:pStyle w:val="Compact"/>
        <w:numPr>
          <w:ilvl w:val="1"/>
          <w:numId w:val="1"/>
        </w:numPr>
        <w:rPr/>
      </w:pPr>
      <w:r>
        <w:rPr/>
        <w:t>Core assessment constraints; incomplete cognitive testing; proxy/informant information</w:t>
      </w:r>
    </w:p>
    <w:p>
      <w:pPr>
        <w:pStyle w:val="Compact"/>
        <w:numPr>
          <w:ilvl w:val="0"/>
          <w:numId w:val="1"/>
        </w:numPr>
        <w:rPr/>
      </w:pPr>
      <w:r>
        <w:rPr/>
        <w:t>Manly-Jones (HCAP) algorithm as primary comparator</w:t>
      </w:r>
    </w:p>
    <w:p>
      <w:pPr>
        <w:pStyle w:val="Compact"/>
        <w:numPr>
          <w:ilvl w:val="1"/>
          <w:numId w:val="1"/>
        </w:numPr>
        <w:rPr/>
      </w:pPr>
      <w:r>
        <w:rPr/>
        <w:t>HCAP neuropsychological assessment; actuarial Normal/MCI/Dementia classification</w:t>
      </w:r>
    </w:p>
    <w:p>
      <w:pPr>
        <w:pStyle w:val="Compact"/>
        <w:numPr>
          <w:ilvl w:val="1"/>
          <w:numId w:val="1"/>
        </w:numPr>
        <w:rPr/>
      </w:pPr>
      <w:r>
        <w:rPr/>
        <w:t>Manly-Jones algorithm; primary HCAP-based comparator</w:t>
      </w:r>
    </w:p>
    <w:p>
      <w:pPr>
        <w:pStyle w:val="Compact"/>
        <w:numPr>
          <w:ilvl w:val="1"/>
          <w:numId w:val="1"/>
        </w:numPr>
        <w:rPr/>
      </w:pPr>
      <w:r>
        <w:rPr/>
        <w:t>Manly et al. (2022); Farron et al. (2025)</w:t>
      </w:r>
    </w:p>
    <w:p>
      <w:pPr>
        <w:pStyle w:val="Compact"/>
        <w:numPr>
          <w:ilvl w:val="1"/>
          <w:numId w:val="1"/>
        </w:numPr>
        <w:rPr/>
      </w:pPr>
      <w:r>
        <w:rPr/>
        <w:t>[Provenance: R/A7_100-comparison_of_diagnoses.R; existing manuscript materials]</w:t>
      </w:r>
    </w:p>
    <w:p>
      <w:pPr>
        <w:pStyle w:val="Compact"/>
        <w:numPr>
          <w:ilvl w:val="0"/>
          <w:numId w:val="1"/>
        </w:numPr>
        <w:rPr/>
      </w:pPr>
      <w:r>
        <w:rPr/>
        <w:t>Study aim</w:t>
      </w:r>
    </w:p>
    <w:p>
      <w:pPr>
        <w:pStyle w:val="Compact"/>
        <w:numPr>
          <w:ilvl w:val="1"/>
          <w:numId w:val="1"/>
        </w:numPr>
        <w:rPr/>
      </w:pPr>
      <w:r>
        <w:rPr/>
        <w:t>HRS core algorithm and PMM; Manly-Jones algorithm primary comparator</w:t>
      </w:r>
    </w:p>
    <w:p>
      <w:pPr>
        <w:pStyle w:val="Compact"/>
        <w:numPr>
          <w:ilvl w:val="1"/>
          <w:numId w:val="1"/>
        </w:numPr>
        <w:rPr/>
      </w:pPr>
      <w:r>
        <w:rPr/>
        <w:t>Secondary comparators: HCAP consensus; Langa-Weir; Hudomiet</w:t>
      </w:r>
    </w:p>
    <w:p>
      <w:pPr>
        <w:pStyle w:val="Compact"/>
        <w:numPr>
          <w:ilvl w:val="1"/>
          <w:numId w:val="1"/>
        </w:numPr>
        <w:rPr/>
      </w:pPr>
      <w:r>
        <w:rPr/>
        <w:t>Classification margins; 3-class agreement; dementia/non-dementia agreement</w:t>
      </w:r>
      <w:bookmarkEnd w:id="1"/>
    </w:p>
    <w:p>
      <w:pPr>
        <w:pStyle w:val="Heading2"/>
        <w:rPr/>
      </w:pPr>
      <w:bookmarkStart w:id="2" w:name="methods"/>
      <w:r>
        <w:rPr/>
        <w:t>Methods</w:t>
      </w:r>
    </w:p>
    <w:p>
      <w:pPr>
        <w:pStyle w:val="Heading3"/>
        <w:rPr/>
      </w:pPr>
      <w:bookmarkStart w:id="3" w:name="design-and-analytic-samples"/>
      <w:r>
        <w:rPr/>
        <w:t>Design and analytic samples</w:t>
      </w:r>
    </w:p>
    <w:p>
      <w:pPr>
        <w:pStyle w:val="Compact"/>
        <w:numPr>
          <w:ilvl w:val="0"/>
          <w:numId w:val="1"/>
        </w:numPr>
        <w:rPr/>
      </w:pPr>
      <w:r>
        <w:rPr/>
        <w:t>Study sample: HRS/HCAP 2016 participants, N = 3,496</w:t>
      </w:r>
    </w:p>
    <w:p>
      <w:pPr>
        <w:pStyle w:val="Compact"/>
        <w:numPr>
          <w:ilvl w:val="1"/>
          <w:numId w:val="1"/>
        </w:numPr>
        <w:rPr/>
      </w:pPr>
      <w:r>
        <w:rPr/>
        <w:t>All HCAP participants; no Core cognitive-test requirement</w:t>
      </w:r>
    </w:p>
    <w:p>
      <w:pPr>
        <w:pStyle w:val="Compact"/>
        <w:numPr>
          <w:ilvl w:val="1"/>
          <w:numId w:val="1"/>
        </w:numPr>
        <w:rPr/>
      </w:pPr>
      <w:r>
        <w:rPr/>
        <w:t>Participants without Core cognitive testing classified from informant data (Jorm IQCODE): core algorithm Jorm fallback; PMM informant model</w:t>
      </w:r>
    </w:p>
    <w:p>
      <w:pPr>
        <w:pStyle w:val="Compact"/>
        <w:numPr>
          <w:ilvl w:val="1"/>
          <w:numId w:val="1"/>
        </w:numPr>
        <w:rPr/>
      </w:pPr>
      <w:r>
        <w:rPr/>
        <w:t>Agreement-statistic samples: core algorithm N = 3,496; PMM N = 3,496</w:t>
      </w:r>
    </w:p>
    <w:p>
      <w:pPr>
        <w:pStyle w:val="Compact"/>
        <w:numPr>
          <w:ilvl w:val="1"/>
          <w:numId w:val="1"/>
        </w:numPr>
        <w:rPr/>
      </w:pPr>
      <w:r>
        <w:rPr/>
        <w:t>[Provenance: R/MS_MAIN/MS_001_analysis_cohort.R; R_objects/A7_005_hrs16_merged.rds; R/A7_100-comparison_of_diagnoses.R; R/PMM_110_Comparison_of_Consensus_Langa_Weir.R]</w:t>
      </w:r>
    </w:p>
    <w:p>
      <w:pPr>
        <w:pStyle w:val="Compact"/>
        <w:numPr>
          <w:ilvl w:val="0"/>
          <w:numId w:val="1"/>
        </w:numPr>
        <w:rPr/>
      </w:pPr>
      <w:r>
        <w:rPr/>
        <w:t>Consensus panel subset</w:t>
      </w:r>
    </w:p>
    <w:p>
      <w:pPr>
        <w:pStyle w:val="Compact"/>
        <w:numPr>
          <w:ilvl w:val="1"/>
          <w:numId w:val="1"/>
        </w:numPr>
        <w:rPr/>
      </w:pPr>
      <w:r>
        <w:rPr/>
        <w:t>Validation-subsample design; inverse-probability weighting to account for selection into the consensus panel</w:t>
      </w:r>
    </w:p>
    <w:p>
      <w:pPr>
        <w:pStyle w:val="Compact"/>
        <w:numPr>
          <w:ilvl w:val="1"/>
          <w:numId w:val="1"/>
        </w:numPr>
        <w:rPr/>
      </w:pPr>
      <w:r>
        <w:rPr/>
        <w:t>[Provenance: R/A7_100-comparison_of_diagnoses.R; R/PMM_110_Comparison_of_Consensus_Langa_Weir.R]</w:t>
      </w:r>
      <w:bookmarkEnd w:id="3"/>
    </w:p>
    <w:p>
      <w:pPr>
        <w:pStyle w:val="Heading3"/>
        <w:rPr/>
      </w:pPr>
      <w:bookmarkStart w:id="4" w:name="hrs-core-classification-approaches"/>
      <w:r>
        <w:rPr/>
        <w:t>HRS Core classification approaches</w:t>
      </w:r>
    </w:p>
    <w:p>
      <w:pPr>
        <w:pStyle w:val="Compact"/>
        <w:numPr>
          <w:ilvl w:val="0"/>
          <w:numId w:val="1"/>
        </w:numPr>
        <w:rPr/>
      </w:pPr>
      <w:r>
        <w:rPr/>
        <w:t>Two Core classification approaches</w:t>
      </w:r>
    </w:p>
    <w:p>
      <w:pPr>
        <w:pStyle w:val="Compact"/>
        <w:numPr>
          <w:ilvl w:val="1"/>
          <w:numId w:val="1"/>
        </w:numPr>
        <w:rPr/>
      </w:pPr>
      <w:r>
        <w:rPr/>
        <w:t>Core algorithm</w:t>
      </w:r>
    </w:p>
    <w:p>
      <w:pPr>
        <w:pStyle w:val="Compact"/>
        <w:numPr>
          <w:ilvl w:val="2"/>
          <w:numId w:val="1"/>
        </w:numPr>
        <w:rPr/>
      </w:pPr>
      <w:r>
        <w:rPr/>
        <w:t>Survey-weighted CFA; demographically normed cognitive score; cognitive/self-report/informant rules</w:t>
      </w:r>
    </w:p>
    <w:p>
      <w:pPr>
        <w:pStyle w:val="Compact"/>
        <w:numPr>
          <w:ilvl w:val="2"/>
          <w:numId w:val="1"/>
        </w:numPr>
        <w:rPr/>
      </w:pPr>
      <w:r>
        <w:rPr/>
        <w:t>[Provenance: R/A7_050-mplus_model.R; R/A7_055-norm_factor_score.R; R/A7_075-implement_algorithm.R]</w:t>
      </w:r>
    </w:p>
    <w:p>
      <w:pPr>
        <w:pStyle w:val="Compact"/>
        <w:numPr>
          <w:ilvl w:val="1"/>
          <w:numId w:val="1"/>
        </w:numPr>
        <w:rPr/>
      </w:pPr>
      <w:r>
        <w:rPr/>
        <w:t>PMM</w:t>
      </w:r>
    </w:p>
    <w:p>
      <w:pPr>
        <w:pStyle w:val="Compact"/>
        <w:numPr>
          <w:ilvl w:val="2"/>
          <w:numId w:val="1"/>
        </w:numPr>
        <w:rPr/>
      </w:pPr>
      <w:r>
        <w:rPr/>
        <w:t>HRS/HCAP-calibrated probabilistic Normal/MCI/Dementia classification; combined cognition and informant models (i.e., two PMM models, one trained using cognition data, the other trained using informant data (Jorm IQCODE)).</w:t>
      </w:r>
    </w:p>
    <w:p>
      <w:pPr>
        <w:pStyle w:val="Compact"/>
        <w:numPr>
          <w:ilvl w:val="2"/>
          <w:numId w:val="1"/>
        </w:numPr>
        <w:rPr/>
      </w:pPr>
      <w:r>
        <w:rPr>
          <w:i/>
          <w:iCs/>
        </w:rPr>
        <w:t>Limitation</w:t>
      </w:r>
      <w:r>
        <w:rPr/>
        <w:t>: The HRS/HCAP IQCODE look back window is the past 10 years, the Core IQCODE has a look back window of 2 years.</w:t>
      </w:r>
    </w:p>
    <w:p>
      <w:pPr>
        <w:pStyle w:val="Compact"/>
        <w:numPr>
          <w:ilvl w:val="2"/>
          <w:numId w:val="1"/>
        </w:numPr>
        <w:rPr/>
      </w:pPr>
      <w:r>
        <w:rPr/>
        <w:t>[Provenance: R/PMM_102_calibration_model.R; R/PMM_103_informant_model.R; R/PMM_110_Comparison_of_Consensus_Langa_Weir.R]</w:t>
      </w:r>
    </w:p>
    <w:p>
      <w:pPr>
        <w:pStyle w:val="Heading4"/>
        <w:rPr/>
      </w:pPr>
      <w:bookmarkStart w:id="5" w:name="core-algorithm"/>
      <w:r>
        <w:rPr/>
        <w:t>Core algorithm</w:t>
      </w:r>
    </w:p>
    <w:p>
      <w:pPr>
        <w:pStyle w:val="Compact"/>
        <w:numPr>
          <w:ilvl w:val="0"/>
          <w:numId w:val="1"/>
        </w:numPr>
        <w:rPr/>
      </w:pPr>
      <w:r>
        <w:rPr/>
        <w:t>Single-factor Core cognition model</w:t>
      </w:r>
    </w:p>
    <w:p>
      <w:pPr>
        <w:pStyle w:val="Compact"/>
        <w:numPr>
          <w:ilvl w:val="1"/>
          <w:numId w:val="1"/>
        </w:numPr>
        <w:rPr/>
      </w:pPr>
      <w:r>
        <w:rPr/>
        <w:t>Not enough items to separately score 5 domains matching Manly et al. (2022)</w:t>
      </w:r>
    </w:p>
    <w:p>
      <w:pPr>
        <w:pStyle w:val="Compact"/>
        <w:numPr>
          <w:ilvl w:val="1"/>
          <w:numId w:val="1"/>
        </w:numPr>
        <w:rPr/>
      </w:pPr>
      <w:r>
        <w:rPr/>
        <w:t>Initial 8-indicator, complex-survey model fit evaluated with WLSMV</w:t>
      </w:r>
    </w:p>
    <w:p>
      <w:pPr>
        <w:pStyle w:val="Compact"/>
        <w:numPr>
          <w:ilvl w:val="1"/>
          <w:numId w:val="1"/>
        </w:numPr>
        <w:rPr/>
      </w:pPr>
      <w:r>
        <w:rPr/>
        <w:t>Factor scores estimated with MLR, a probit link, and EAP scoring after fixing item parameters to the MLR model estimates</w:t>
      </w:r>
    </w:p>
    <w:p>
      <w:pPr>
        <w:pStyle w:val="Compact"/>
        <w:numPr>
          <w:ilvl w:val="1"/>
          <w:numId w:val="1"/>
        </w:numPr>
        <w:rPr/>
      </w:pPr>
      <w:r>
        <w:rPr/>
        <w:t>Factor-score normalization; age, sex, race/ethnicity, education covariates</w:t>
      </w:r>
    </w:p>
    <w:p>
      <w:pPr>
        <w:pStyle w:val="Compact"/>
        <w:numPr>
          <w:ilvl w:val="1"/>
          <w:numId w:val="1"/>
        </w:numPr>
        <w:rPr/>
      </w:pPr>
      <w:r>
        <w:rPr/>
        <w:t>[Provenance: R/A7_050-mplus_model.R; mplus_output/A7/model_1a_fixed/model_1a_fixed.inp; R/A7_055-norm_factor_score.R]</w:t>
      </w:r>
    </w:p>
    <w:p>
      <w:pPr>
        <w:pStyle w:val="Compact"/>
        <w:numPr>
          <w:ilvl w:val="0"/>
          <w:numId w:val="1"/>
        </w:numPr>
        <w:rPr/>
      </w:pPr>
      <w:r>
        <w:rPr/>
        <w:t>Rule-based classification</w:t>
      </w:r>
    </w:p>
    <w:p>
      <w:pPr>
        <w:pStyle w:val="Compact"/>
        <w:numPr>
          <w:ilvl w:val="1"/>
          <w:numId w:val="1"/>
        </w:numPr>
        <w:rPr/>
      </w:pPr>
      <w:r>
        <w:rPr/>
        <w:t>Cognitive thresholds; self-reported concern; JORM for missing cognitive assessments</w:t>
      </w:r>
    </w:p>
    <w:p>
      <w:pPr>
        <w:pStyle w:val="Compact"/>
        <w:numPr>
          <w:ilvl w:val="1"/>
          <w:numId w:val="1"/>
        </w:numPr>
        <w:rPr/>
      </w:pPr>
      <w:r>
        <w:rPr/>
        <w:t>Normal, MCI, Dementia output</w:t>
      </w:r>
    </w:p>
    <w:p>
      <w:pPr>
        <w:pStyle w:val="Compact"/>
        <w:numPr>
          <w:ilvl w:val="1"/>
          <w:numId w:val="1"/>
        </w:numPr>
        <w:rPr/>
      </w:pPr>
      <w:r>
        <w:rPr/>
        <w:t xml:space="preserve">More detail in </w:t>
      </w:r>
      <w:r>
        <w:rPr>
          <w:b/>
          <w:bCs/>
        </w:rPr>
        <w:t>Appendix 1</w:t>
      </w:r>
    </w:p>
    <w:p>
      <w:pPr>
        <w:pStyle w:val="Compact"/>
        <w:numPr>
          <w:ilvl w:val="1"/>
          <w:numId w:val="1"/>
        </w:numPr>
        <w:rPr/>
      </w:pPr>
      <w:r>
        <w:rPr/>
        <w:t>[Provenance: R/A7_075-implement_algorithm.R]</w:t>
      </w:r>
      <w:bookmarkEnd w:id="5"/>
    </w:p>
    <w:p>
      <w:pPr>
        <w:pStyle w:val="Heading4"/>
        <w:rPr/>
      </w:pPr>
      <w:bookmarkStart w:id="6" w:name="pmm-classification"/>
      <w:r>
        <w:rPr/>
        <w:t>PMM classification</w:t>
      </w:r>
    </w:p>
    <w:p>
      <w:pPr>
        <w:pStyle w:val="Compact"/>
        <w:numPr>
          <w:ilvl w:val="0"/>
          <w:numId w:val="1"/>
        </w:numPr>
        <w:rPr/>
      </w:pPr>
      <w:r>
        <w:rPr/>
        <w:t>HRS/HCAP calibration</w:t>
      </w:r>
    </w:p>
    <w:p>
      <w:pPr>
        <w:pStyle w:val="Compact"/>
        <w:numPr>
          <w:ilvl w:val="1"/>
          <w:numId w:val="1"/>
        </w:numPr>
        <w:rPr/>
      </w:pPr>
      <w:r>
        <w:rPr/>
        <w:t>Known-class Manly-Jones algorithm classification (training data; Muthén, 2002)</w:t>
      </w:r>
    </w:p>
    <w:p>
      <w:pPr>
        <w:pStyle w:val="Compact"/>
        <w:numPr>
          <w:ilvl w:val="1"/>
          <w:numId w:val="1"/>
        </w:numPr>
        <w:rPr/>
      </w:pPr>
      <w:r>
        <w:rPr/>
        <w:t>Same inputs as core algorithm: 8 Core cognitive tests; self-rated memory (D102); Jorm IQCODE</w:t>
      </w:r>
    </w:p>
    <w:p>
      <w:pPr>
        <w:pStyle w:val="Compact"/>
        <w:numPr>
          <w:ilvl w:val="2"/>
          <w:numId w:val="1"/>
        </w:numPr>
        <w:rPr/>
      </w:pPr>
      <w:r>
        <w:rPr/>
        <w:t>Not included: ADL/IADL items (reason for a limitation not asked; physical causes); immediate word recall (little beyond delayed recall; Jones et al., 2024)</w:t>
      </w:r>
    </w:p>
    <w:p>
      <w:pPr>
        <w:pStyle w:val="Compact"/>
        <w:numPr>
          <w:ilvl w:val="1"/>
          <w:numId w:val="1"/>
        </w:numPr>
        <w:rPr/>
      </w:pPr>
      <w:r>
        <w:rPr/>
        <w:t>Cognition model, N = 3,283 (at least 1 test score or D102)</w:t>
      </w:r>
    </w:p>
    <w:p>
      <w:pPr>
        <w:pStyle w:val="Compact"/>
        <w:numPr>
          <w:ilvl w:val="2"/>
          <w:numId w:val="1"/>
        </w:numPr>
        <w:rPr/>
      </w:pPr>
      <w:r>
        <w:rPr/>
        <w:t>General cognitive factor (GCP) on the 8 tests; GCP mean and variance by class (Normal: mean 0, variance 1)</w:t>
      </w:r>
    </w:p>
    <w:p>
      <w:pPr>
        <w:pStyle w:val="Compact"/>
        <w:numPr>
          <w:ilvl w:val="2"/>
          <w:numId w:val="1"/>
        </w:numPr>
        <w:rPr/>
      </w:pPr>
      <w:r>
        <w:rPr/>
        <w:t>Loadings, intercepts, thresholds, residual variances equal across classes; D102 thresholds by class</w:t>
      </w:r>
    </w:p>
    <w:p>
      <w:pPr>
        <w:pStyle w:val="Compact"/>
        <w:numPr>
          <w:ilvl w:val="2"/>
          <w:numId w:val="1"/>
        </w:numPr>
        <w:rPr/>
      </w:pPr>
      <w:r>
        <w:rPr/>
        <w:t>Test regressions on 24 sociodemographic terms fixed at robust norms group values</w:t>
      </w:r>
    </w:p>
    <w:p>
      <w:pPr>
        <w:pStyle w:val="Compact"/>
        <w:numPr>
          <w:ilvl w:val="1"/>
          <w:numId w:val="1"/>
        </w:numPr>
        <w:rPr/>
      </w:pPr>
      <w:r>
        <w:rPr/>
        <w:t>Informant model, N = 213 (IQCODE, no test score or D102)</w:t>
      </w:r>
    </w:p>
    <w:p>
      <w:pPr>
        <w:pStyle w:val="Compact"/>
        <w:numPr>
          <w:ilvl w:val="2"/>
          <w:numId w:val="1"/>
        </w:numPr>
        <w:rPr/>
      </w:pPr>
      <w:r>
        <w:rPr/>
        <w:t>Jorm IQCODE only; mean by class</w:t>
      </w:r>
    </w:p>
    <w:p>
      <w:pPr>
        <w:pStyle w:val="Compact"/>
        <w:numPr>
          <w:ilvl w:val="1"/>
          <w:numId w:val="1"/>
        </w:numPr>
        <w:rPr/>
      </w:pPr>
      <w:r>
        <w:rPr/>
        <w:t>Calibration parameters fixed for scoring; scored in the same HRS/HCAP sample used for calibration (in-sample classification); HRS Core 2016-2022 scoring in Analysis A3_2 (not reported here)</w:t>
      </w:r>
    </w:p>
    <w:p>
      <w:pPr>
        <w:pStyle w:val="Compact"/>
        <w:numPr>
          <w:ilvl w:val="1"/>
          <w:numId w:val="1"/>
        </w:numPr>
        <w:rPr/>
      </w:pPr>
      <w:r>
        <w:rPr/>
        <w:t>[Provenance: R/PMM_100_norming_npb.R; R/PMM_102_calibration_model.R; R/PMM_103_informant_model.R; R/PMM_090_model_registry.R]</w:t>
      </w:r>
    </w:p>
    <w:p>
      <w:pPr>
        <w:pStyle w:val="Compact"/>
        <w:numPr>
          <w:ilvl w:val="0"/>
          <w:numId w:val="1"/>
        </w:numPr>
        <w:rPr/>
      </w:pPr>
      <w:r>
        <w:rPr/>
        <w:t>Choice of a general factor</w:t>
      </w:r>
    </w:p>
    <w:p>
      <w:pPr>
        <w:pStyle w:val="Compact"/>
        <w:numPr>
          <w:ilvl w:val="1"/>
          <w:numId w:val="1"/>
        </w:numPr>
        <w:rPr/>
      </w:pPr>
      <w:r>
        <w:rPr/>
        <w:t>Tests correlate within class (robust norms group, after adjustment); model without GCP sets within-class correlation to 0, treats correlated tests as independent evidence</w:t>
      </w:r>
    </w:p>
    <w:p>
      <w:pPr>
        <w:pStyle w:val="Compact"/>
        <w:numPr>
          <w:ilvl w:val="1"/>
          <w:numId w:val="1"/>
        </w:numPr>
        <w:rPr/>
      </w:pPr>
      <w:r>
        <w:rPr/>
        <w:t>GCP model: better fit, fewer parameters than no-factor model</w:t>
      </w:r>
    </w:p>
    <w:p>
      <w:pPr>
        <w:pStyle w:val="Compact"/>
        <w:numPr>
          <w:ilvl w:val="1"/>
          <w:numId w:val="1"/>
        </w:numPr>
        <w:rPr/>
      </w:pPr>
      <w:r>
        <w:rPr/>
        <w:t>Class-specific test intercepts and thresholds: 10-fold cross-validation; higher kappa, lower log score; not adopted</w:t>
      </w:r>
    </w:p>
    <w:p>
      <w:pPr>
        <w:pStyle w:val="Compact"/>
        <w:numPr>
          <w:ilvl w:val="1"/>
          <w:numId w:val="1"/>
        </w:numPr>
        <w:rPr/>
      </w:pPr>
      <w:r>
        <w:rPr/>
        <w:t>[Values not in a current results object; Provenance: References/SESSION_LOGS.md, 2026-10-22; R/Archive_PMM_2026-10-22/]</w:t>
      </w:r>
    </w:p>
    <w:p>
      <w:pPr>
        <w:pStyle w:val="Compact"/>
        <w:numPr>
          <w:ilvl w:val="0"/>
          <w:numId w:val="1"/>
        </w:numPr>
        <w:rPr/>
      </w:pPr>
      <w:r>
        <w:rPr/>
        <w:t>Class proportions (priors)</w:t>
      </w:r>
    </w:p>
    <w:p>
      <w:pPr>
        <w:pStyle w:val="Compact"/>
        <w:numPr>
          <w:ilvl w:val="1"/>
          <w:numId w:val="1"/>
        </w:numPr>
        <w:rPr/>
      </w:pPr>
      <w:r>
        <w:rPr/>
        <w:t>Class-specific parameters estimated with HCAP16WGTR; MLR estimation, Bayes-rule posterior classification (plug-in rule; McLachlan, 1992)</w:t>
      </w:r>
    </w:p>
    <w:p>
      <w:pPr>
        <w:pStyle w:val="Compact"/>
        <w:numPr>
          <w:ilvl w:val="1"/>
          <w:numId w:val="1"/>
        </w:numPr>
        <w:rPr/>
      </w:pPr>
      <w:r>
        <w:rPr/>
        <w:t>Class proportions fixed at the HCAP16WGTR-weighted Manly-Jones algorithm distribution, computed outside Mplus; Mplus KNOWNCLASS estimates class proportions from unweighted counts</w:t>
      </w:r>
    </w:p>
    <w:p>
      <w:pPr>
        <w:pStyle w:val="Compact"/>
        <w:numPr>
          <w:ilvl w:val="2"/>
          <w:numId w:val="1"/>
        </w:numPr>
        <w:rPr/>
      </w:pPr>
      <w:r>
        <w:rPr/>
        <w:t>Cognition model: Normal 72.0%, MCI 20.7%, Dementia 7.3%</w:t>
      </w:r>
    </w:p>
    <w:p>
      <w:pPr>
        <w:pStyle w:val="Compact"/>
        <w:numPr>
          <w:ilvl w:val="2"/>
          <w:numId w:val="1"/>
        </w:numPr>
        <w:rPr/>
      </w:pPr>
      <w:r>
        <w:rPr/>
        <w:t>Informant model: Normal 31.7%, MCI 31.6%, Dementia 36.7%</w:t>
      </w:r>
    </w:p>
    <w:p>
      <w:pPr>
        <w:pStyle w:val="Compact"/>
        <w:numPr>
          <w:ilvl w:val="1"/>
          <w:numId w:val="1"/>
        </w:numPr>
        <w:rPr/>
      </w:pPr>
      <w:r>
        <w:rPr/>
        <w:t>[Provenance: R/PMM_101_mplus_function.R; R/PMM_102_calibration_model.R; R/PMM_103_informant_model.R; R/Archive_PMM_2026-10-22/PMM_104_weight_check.R; scoring outputs in R/PMM_090_model_registry.R]</w:t>
      </w:r>
    </w:p>
    <w:p>
      <w:pPr>
        <w:pStyle w:val="Compact"/>
        <w:numPr>
          <w:ilvl w:val="0"/>
          <w:numId w:val="1"/>
        </w:numPr>
        <w:rPr/>
      </w:pPr>
      <w:r>
        <w:rPr/>
        <w:t>Combined classification</w:t>
      </w:r>
    </w:p>
    <w:p>
      <w:pPr>
        <w:pStyle w:val="Compact"/>
        <w:numPr>
          <w:ilvl w:val="1"/>
          <w:numId w:val="1"/>
        </w:numPr>
        <w:rPr/>
      </w:pPr>
      <w:r>
        <w:rPr/>
        <w:t>Cognition-model probabilities; informant-model probabilities when IQCODE available</w:t>
      </w:r>
    </w:p>
    <w:p>
      <w:pPr>
        <w:pStyle w:val="Compact"/>
        <w:numPr>
          <w:ilvl w:val="1"/>
          <w:numId w:val="1"/>
        </w:numPr>
        <w:rPr/>
      </w:pPr>
      <w:r>
        <w:rPr/>
        <w:t>Probabilistic Normal/MCI/Dementia membership; replicated probability-weighted comparisons</w:t>
      </w:r>
    </w:p>
    <w:p>
      <w:pPr>
        <w:pStyle w:val="Compact"/>
        <w:numPr>
          <w:ilvl w:val="1"/>
          <w:numId w:val="1"/>
        </w:numPr>
        <w:rPr/>
      </w:pPr>
      <w:r>
        <w:rPr/>
        <w:t xml:space="preserve">More detail in </w:t>
      </w:r>
      <w:r>
        <w:rPr>
          <w:b/>
          <w:bCs/>
        </w:rPr>
        <w:t>Appendix 2</w:t>
      </w:r>
    </w:p>
    <w:p>
      <w:pPr>
        <w:pStyle w:val="Compact"/>
        <w:numPr>
          <w:ilvl w:val="1"/>
          <w:numId w:val="1"/>
        </w:numPr>
        <w:rPr/>
      </w:pPr>
      <w:r>
        <w:rPr/>
        <w:t>[Provenance: R/PMM_110_Comparison_of_Consensus_Langa_Weir.R]</w:t>
      </w:r>
      <w:bookmarkEnd w:id="4"/>
      <w:bookmarkEnd w:id="6"/>
    </w:p>
    <w:p>
      <w:pPr>
        <w:pStyle w:val="Heading3"/>
        <w:rPr/>
      </w:pPr>
      <w:bookmarkStart w:id="7" w:name="comparison-classifications-and-estimands"/>
      <w:r>
        <w:rPr/>
        <w:t>Comparison classifications and estimands</w:t>
      </w:r>
    </w:p>
    <w:p>
      <w:pPr>
        <w:pStyle w:val="Compact"/>
        <w:numPr>
          <w:ilvl w:val="0"/>
          <w:numId w:val="1"/>
        </w:numPr>
        <w:rPr/>
      </w:pPr>
      <w:r>
        <w:rPr/>
        <w:t>Primary comparator: Manly-Jones algorithm</w:t>
      </w:r>
    </w:p>
    <w:p>
      <w:pPr>
        <w:pStyle w:val="Compact"/>
        <w:numPr>
          <w:ilvl w:val="1"/>
          <w:numId w:val="1"/>
        </w:numPr>
        <w:rPr/>
      </w:pPr>
      <w:r>
        <w:rPr/>
        <w:t>HCAP population weights: HCAP16WGTR</w:t>
      </w:r>
    </w:p>
    <w:p>
      <w:pPr>
        <w:pStyle w:val="Compact"/>
        <w:numPr>
          <w:ilvl w:val="1"/>
          <w:numId w:val="1"/>
        </w:numPr>
        <w:rPr/>
      </w:pPr>
      <w:r>
        <w:rPr/>
        <w:t>[Provenance: R/A7_100-comparison_of_diagnoses.R]</w:t>
      </w:r>
    </w:p>
    <w:p>
      <w:pPr>
        <w:pStyle w:val="Compact"/>
        <w:numPr>
          <w:ilvl w:val="0"/>
          <w:numId w:val="1"/>
        </w:numPr>
        <w:rPr/>
      </w:pPr>
      <w:r>
        <w:rPr/>
        <w:t>Secondary comparators</w:t>
      </w:r>
    </w:p>
    <w:p>
      <w:pPr>
        <w:pStyle w:val="Compact"/>
        <w:numPr>
          <w:ilvl w:val="1"/>
          <w:numId w:val="1"/>
        </w:numPr>
        <w:rPr/>
      </w:pPr>
      <w:r>
        <w:rPr/>
        <w:t>HCAP consensus diagnosis: normalized HCAP16WGTR x samplingP^-1 weights</w:t>
      </w:r>
    </w:p>
    <w:p>
      <w:pPr>
        <w:pStyle w:val="Compact"/>
        <w:numPr>
          <w:ilvl w:val="1"/>
          <w:numId w:val="1"/>
        </w:numPr>
        <w:rPr/>
      </w:pPr>
      <w:r>
        <w:rPr/>
        <w:t>Langa-Weir; Hudomiet classification</w:t>
      </w:r>
    </w:p>
    <w:p>
      <w:pPr>
        <w:pStyle w:val="Compact"/>
        <w:numPr>
          <w:ilvl w:val="1"/>
          <w:numId w:val="1"/>
        </w:numPr>
        <w:rPr/>
      </w:pPr>
      <w:r>
        <w:rPr/>
        <w:t>[Provenance: R/A0_017-recode_classification.R; R/A7_100-comparison_of_diagnoses.R]</w:t>
      </w:r>
    </w:p>
    <w:p>
      <w:pPr>
        <w:pStyle w:val="Compact"/>
        <w:numPr>
          <w:ilvl w:val="0"/>
          <w:numId w:val="1"/>
        </w:numPr>
        <w:rPr/>
      </w:pPr>
      <w:r>
        <w:rPr/>
        <w:t>Agreement estimands</w:t>
      </w:r>
    </w:p>
    <w:p>
      <w:pPr>
        <w:pStyle w:val="Compact"/>
        <w:numPr>
          <w:ilvl w:val="1"/>
          <w:numId w:val="1"/>
        </w:numPr>
        <w:rPr/>
      </w:pPr>
      <w:r>
        <w:rPr/>
        <w:t>3-class quadratic weighted kappa</w:t>
      </w:r>
    </w:p>
    <w:p>
      <w:pPr>
        <w:pStyle w:val="Compact"/>
        <w:numPr>
          <w:ilvl w:val="1"/>
          <w:numId w:val="1"/>
        </w:numPr>
        <w:rPr/>
      </w:pPr>
      <w:r>
        <w:rPr/>
        <w:t>Dementia versus non-dementia kappa</w:t>
      </w:r>
    </w:p>
    <w:p>
      <w:pPr>
        <w:pStyle w:val="Compact"/>
        <w:numPr>
          <w:ilvl w:val="1"/>
          <w:numId w:val="1"/>
        </w:numPr>
        <w:rPr/>
      </w:pPr>
      <w:r>
        <w:rPr/>
        <w:t>Marginal Normal/MCI/Dementia distributions</w:t>
      </w:r>
    </w:p>
    <w:p>
      <w:pPr>
        <w:pStyle w:val="Compact"/>
        <w:numPr>
          <w:ilvl w:val="1"/>
          <w:numId w:val="1"/>
        </w:numPr>
        <w:rPr/>
      </w:pPr>
      <w:r>
        <w:rPr/>
        <w:t>[Provenance: R/MS_MAIN/MS_010_results_objects.R]</w:t>
      </w:r>
      <w:bookmarkEnd w:id="2"/>
      <w:bookmarkEnd w:id="7"/>
    </w:p>
    <w:p>
      <w:pPr>
        <w:pStyle w:val="Heading2"/>
        <w:rPr/>
      </w:pPr>
      <w:bookmarkStart w:id="8" w:name="results"/>
      <w:r>
        <w:rPr/>
        <w:t>Results</w:t>
      </w:r>
    </w:p>
    <w:p>
      <w:pPr>
        <w:pStyle w:val="Heading3"/>
        <w:rPr/>
      </w:pPr>
      <w:bookmarkStart w:id="9" w:name="Xad2bd54244e6af657ac2421898d5fe1da8f3e99"/>
      <w:r>
        <w:rPr/>
        <w:t>Analytic samples and classification margins</w:t>
      </w:r>
    </w:p>
    <w:p>
      <w:pPr>
        <w:pStyle w:val="Compact"/>
        <w:numPr>
          <w:ilvl w:val="0"/>
          <w:numId w:val="1"/>
        </w:numPr>
        <w:rPr/>
      </w:pPr>
      <w:r>
        <w:rPr/>
        <w:t>Table 1: HRS/HCAP study sample characteristics</w:t>
      </w:r>
    </w:p>
    <w:p>
      <w:pPr>
        <w:pStyle w:val="Compact"/>
        <w:numPr>
          <w:ilvl w:val="1"/>
          <w:numId w:val="1"/>
        </w:numPr>
        <w:rPr/>
      </w:pPr>
      <w:r>
        <w:rPr/>
        <w:t>Dynamic counts and descriptive statistics</w:t>
      </w:r>
    </w:p>
    <w:p>
      <w:pPr>
        <w:pStyle w:val="Compact"/>
        <w:numPr>
          <w:ilvl w:val="1"/>
          <w:numId w:val="1"/>
        </w:numPr>
        <w:rPr/>
      </w:pPr>
      <w:r>
        <w:rPr/>
        <w:t>[Provenance: R/MS_MAIN/MS_Tab_Fig_Apndx-030-Table-1.qmd]</w:t>
      </w:r>
    </w:p>
    <w:p>
      <w:pPr>
        <w:pStyle w:val="Compact"/>
        <w:numPr>
          <w:ilvl w:val="0"/>
          <w:numId w:val="1"/>
        </w:numPr>
        <w:rPr/>
      </w:pPr>
      <w:r>
        <w:rPr/>
        <w:t>Table 2: weighted classification margins</w:t>
      </w:r>
    </w:p>
    <w:p>
      <w:pPr>
        <w:pStyle w:val="Compact"/>
        <w:numPr>
          <w:ilvl w:val="1"/>
          <w:numId w:val="1"/>
        </w:numPr>
        <w:rPr/>
      </w:pPr>
      <w:r>
        <w:rPr/>
        <w:t>Manly-Jones algorithm; core algorithm; PMM; Langa-Weir; Hudomiet</w:t>
      </w:r>
    </w:p>
    <w:p>
      <w:pPr>
        <w:pStyle w:val="Compact"/>
        <w:numPr>
          <w:ilvl w:val="1"/>
          <w:numId w:val="1"/>
        </w:numPr>
        <w:rPr/>
      </w:pPr>
      <w:r>
        <w:rPr/>
        <w:t>HCAP16WGTR-weighted margins</w:t>
      </w:r>
    </w:p>
    <w:p>
      <w:pPr>
        <w:pStyle w:val="Compact"/>
        <w:numPr>
          <w:ilvl w:val="2"/>
          <w:numId w:val="1"/>
        </w:numPr>
        <w:rPr/>
      </w:pPr>
      <w:r>
        <w:rPr/>
        <w:t>Manly-Jones algorithm: Normal 69.4%, MCI 21.4%, Dementia 9.2%</w:t>
      </w:r>
    </w:p>
    <w:p>
      <w:pPr>
        <w:pStyle w:val="Compact"/>
        <w:numPr>
          <w:ilvl w:val="2"/>
          <w:numId w:val="1"/>
        </w:numPr>
        <w:rPr/>
      </w:pPr>
      <w:r>
        <w:rPr/>
        <w:t>Core algorithm: Normal 68.9%, MCI 22.0%, Dementia 9.1%</w:t>
      </w:r>
    </w:p>
    <w:p>
      <w:pPr>
        <w:pStyle w:val="Compact"/>
        <w:numPr>
          <w:ilvl w:val="2"/>
          <w:numId w:val="1"/>
        </w:numPr>
        <w:rPr/>
      </w:pPr>
      <w:r>
        <w:rPr/>
        <w:t>PMM: Normal 85.5%, MCI 8.6%, Dementia 5.8%</w:t>
      </w:r>
    </w:p>
    <w:p>
      <w:pPr>
        <w:pStyle w:val="Compact"/>
        <w:numPr>
          <w:ilvl w:val="1"/>
          <w:numId w:val="1"/>
        </w:numPr>
        <w:rPr/>
      </w:pPr>
      <w:r>
        <w:rPr/>
        <w:t>[Provenance: R/MS_MAIN/MS_010_results_objects.R]</w:t>
      </w:r>
    </w:p>
    <w:p>
      <w:pPr>
        <w:pStyle w:val="Compact"/>
        <w:numPr>
          <w:ilvl w:val="0"/>
          <w:numId w:val="1"/>
        </w:numPr>
        <w:rPr/>
      </w:pPr>
      <w:r>
        <w:rPr/>
        <w:t>Figure 1: Core algorithm</w:t>
      </w:r>
    </w:p>
    <w:p>
      <w:pPr>
        <w:pStyle w:val="Compact"/>
        <w:numPr>
          <w:ilvl w:val="1"/>
          <w:numId w:val="1"/>
        </w:numPr>
        <w:rPr/>
      </w:pPr>
      <w:r>
        <w:rPr/>
        <w:t>Classification rules and participant counts</w:t>
      </w:r>
    </w:p>
    <w:p>
      <w:pPr>
        <w:pStyle w:val="Compact"/>
        <w:numPr>
          <w:ilvl w:val="1"/>
          <w:numId w:val="1"/>
        </w:numPr>
        <w:rPr/>
      </w:pPr>
      <w:r>
        <w:rPr/>
        <w:t>[Provenance: R/MS_MAIN/MS_Tab_Fig_Apndx-020-Figure-1.qmd]</w:t>
      </w:r>
    </w:p>
    <w:p>
      <w:pPr>
        <w:pStyle w:val="Compact"/>
        <w:numPr>
          <w:ilvl w:val="0"/>
          <w:numId w:val="1"/>
        </w:numPr>
        <w:rPr/>
      </w:pPr>
      <w:r>
        <w:rPr/>
        <w:t>Figure 2: PMM class-probability distributions</w:t>
      </w:r>
    </w:p>
    <w:p>
      <w:pPr>
        <w:pStyle w:val="Compact"/>
        <w:numPr>
          <w:ilvl w:val="1"/>
          <w:numId w:val="1"/>
        </w:numPr>
        <w:rPr/>
      </w:pPr>
      <w:r>
        <w:rPr/>
        <w:t>Largest MCI probability 0.51; 2 of 3,283 above 0.50 (cognition model)</w:t>
      </w:r>
    </w:p>
    <w:p>
      <w:pPr>
        <w:pStyle w:val="Compact"/>
        <w:numPr>
          <w:ilvl w:val="1"/>
          <w:numId w:val="1"/>
        </w:numPr>
        <w:rPr/>
      </w:pPr>
      <w:r>
        <w:rPr/>
        <w:t>Ceiling from GCP class distributions and priors: 0.60 (GCP known); 0.46 (within-class omega 0.50)</w:t>
      </w:r>
    </w:p>
    <w:p>
      <w:pPr>
        <w:pStyle w:val="Compact"/>
        <w:numPr>
          <w:ilvl w:val="1"/>
          <w:numId w:val="1"/>
        </w:numPr>
        <w:rPr/>
      </w:pPr>
      <w:r>
        <w:rPr/>
        <w:t>Most likely class MCI: 313; mean MCI probability 0.46</w:t>
      </w:r>
    </w:p>
    <w:p>
      <w:pPr>
        <w:pStyle w:val="Compact"/>
        <w:numPr>
          <w:ilvl w:val="1"/>
          <w:numId w:val="1"/>
        </w:numPr>
        <w:rPr/>
      </w:pPr>
      <w:r>
        <w:rPr/>
        <w:t>[Provenance: R/PMM_114_mci_ceiling.R]</w:t>
      </w:r>
    </w:p>
    <w:p>
      <w:pPr>
        <w:pStyle w:val="Compact"/>
        <w:numPr>
          <w:ilvl w:val="1"/>
          <w:numId w:val="1"/>
        </w:numPr>
        <w:rPr/>
      </w:pPr>
      <w:r>
        <w:rPr/>
        <w:t>Probability separation; uncertainty near class boundaries</w:t>
      </w:r>
    </w:p>
    <w:p>
      <w:pPr>
        <w:pStyle w:val="Compact"/>
        <w:numPr>
          <w:ilvl w:val="1"/>
          <w:numId w:val="1"/>
        </w:numPr>
        <w:rPr/>
      </w:pPr>
      <w:r>
        <w:rPr/>
        <w:t>[Provenance: R/PMM_112_Margins.R]</w:t>
      </w:r>
      <w:bookmarkEnd w:id="9"/>
    </w:p>
    <w:p>
      <w:pPr>
        <w:pStyle w:val="Heading3"/>
        <w:rPr/>
      </w:pPr>
      <w:bookmarkStart w:id="10" w:name="agreement-with-manly-jones-algorithm"/>
      <w:r>
        <w:rPr/>
        <w:t>Agreement with Manly-Jones algorithm</w:t>
      </w:r>
    </w:p>
    <w:p>
      <w:pPr>
        <w:pStyle w:val="Compact"/>
        <w:numPr>
          <w:ilvl w:val="0"/>
          <w:numId w:val="1"/>
        </w:numPr>
        <w:rPr/>
      </w:pPr>
      <w:r>
        <w:rPr/>
        <w:t>Core algorithm versus Manly-Jones algorithm: 3-class kappa 0.501; binary kappa 0.337</w:t>
      </w:r>
    </w:p>
    <w:p>
      <w:pPr>
        <w:pStyle w:val="Compact"/>
        <w:numPr>
          <w:ilvl w:val="1"/>
          <w:numId w:val="1"/>
        </w:numPr>
        <w:rPr/>
      </w:pPr>
      <w:r>
        <w:rPr/>
        <w:t>[Provenance: R_objects/A7_100_hcap_tables.rds]</w:t>
      </w:r>
    </w:p>
    <w:p>
      <w:pPr>
        <w:pStyle w:val="Compact"/>
        <w:numPr>
          <w:ilvl w:val="0"/>
          <w:numId w:val="1"/>
        </w:numPr>
        <w:rPr/>
      </w:pPr>
      <w:r>
        <w:rPr/>
        <w:t>PMM versus Manly-Jones algorithm: 3-class kappa 0.37; binary kappa 0.302</w:t>
      </w:r>
    </w:p>
    <w:p>
      <w:pPr>
        <w:pStyle w:val="Compact"/>
        <w:numPr>
          <w:ilvl w:val="1"/>
          <w:numId w:val="1"/>
        </w:numPr>
        <w:rPr/>
      </w:pPr>
      <w:r>
        <w:rPr/>
        <w:t>[Provenance: R/PMM_110_Comparison_of_Consensus_Langa_Weir.R]</w:t>
      </w:r>
    </w:p>
    <w:p>
      <w:pPr>
        <w:pStyle w:val="Compact"/>
        <w:numPr>
          <w:ilvl w:val="0"/>
          <w:numId w:val="1"/>
        </w:numPr>
        <w:rPr/>
      </w:pPr>
      <w:r>
        <w:rPr/>
        <w:t>Table 3: pairwise agreement, comparators, weight definitions</w:t>
      </w:r>
    </w:p>
    <w:p>
      <w:pPr>
        <w:pStyle w:val="Compact"/>
        <w:numPr>
          <w:ilvl w:val="1"/>
          <w:numId w:val="1"/>
        </w:numPr>
        <w:rPr/>
      </w:pPr>
      <w:r>
        <w:rPr/>
        <w:t>[Provenance: R/MS_MAIN/MS_010_results_objects.R]</w:t>
      </w:r>
      <w:bookmarkEnd w:id="10"/>
    </w:p>
    <w:p>
      <w:pPr>
        <w:pStyle w:val="Heading3"/>
        <w:rPr/>
      </w:pPr>
      <w:bookmarkStart w:id="11" w:name="X6d65fe6e4680f26c2a7949e29ea6de33d0c0f19"/>
      <w:r>
        <w:rPr/>
        <w:t>Agreement with consensus and established HRS classifications</w:t>
      </w:r>
    </w:p>
    <w:p>
      <w:pPr>
        <w:pStyle w:val="Compact"/>
        <w:numPr>
          <w:ilvl w:val="0"/>
          <w:numId w:val="1"/>
        </w:numPr>
        <w:rPr/>
      </w:pPr>
      <w:r>
        <w:rPr/>
        <w:t>Core algorithm, PMM, Langa-Weir, Hudomiet</w:t>
      </w:r>
    </w:p>
    <w:p>
      <w:pPr>
        <w:pStyle w:val="Compact"/>
        <w:numPr>
          <w:ilvl w:val="1"/>
          <w:numId w:val="1"/>
        </w:numPr>
        <w:rPr/>
      </w:pPr>
      <w:r>
        <w:rPr/>
        <w:t>Separate HCAP population and consensus-subsample estimands</w:t>
      </w:r>
    </w:p>
    <w:p>
      <w:pPr>
        <w:pStyle w:val="Compact"/>
        <w:numPr>
          <w:ilvl w:val="1"/>
          <w:numId w:val="1"/>
        </w:numPr>
        <w:rPr/>
      </w:pPr>
      <w:r>
        <w:rPr/>
        <w:t>Weight-dependent interpretation</w:t>
      </w:r>
    </w:p>
    <w:p>
      <w:pPr>
        <w:pStyle w:val="Compact"/>
        <w:numPr>
          <w:ilvl w:val="1"/>
          <w:numId w:val="1"/>
        </w:numPr>
        <w:rPr/>
      </w:pPr>
      <w:r>
        <w:rPr/>
        <w:t>[Provenance: R/MS_MAIN/MS_010_results_objects.R]</w:t>
      </w:r>
    </w:p>
    <w:p>
      <w:pPr>
        <w:pStyle w:val="Compact"/>
        <w:numPr>
          <w:ilvl w:val="0"/>
          <w:numId w:val="1"/>
        </w:numPr>
        <w:rPr/>
      </w:pPr>
      <w:r>
        <w:rPr/>
        <w:t>Table 4: A7 pairwise three-class agreement matrix</w:t>
      </w:r>
    </w:p>
    <w:p>
      <w:pPr>
        <w:pStyle w:val="Compact"/>
        <w:numPr>
          <w:ilvl w:val="1"/>
          <w:numId w:val="1"/>
        </w:numPr>
        <w:rPr/>
      </w:pPr>
      <w:r>
        <w:rPr/>
        <w:t>[Provenance: R_objects/A7_100_hcap_tables.rds]</w:t>
      </w:r>
      <w:bookmarkEnd w:id="8"/>
      <w:bookmarkEnd w:id="11"/>
    </w:p>
    <w:p>
      <w:pPr>
        <w:pStyle w:val="Heading2"/>
        <w:rPr/>
      </w:pPr>
      <w:bookmarkStart w:id="12" w:name="discussion"/>
      <w:r>
        <w:rPr/>
        <w:t>Discussion</w:t>
      </w:r>
    </w:p>
    <w:p>
      <w:pPr>
        <w:pStyle w:val="Compact"/>
        <w:numPr>
          <w:ilvl w:val="0"/>
          <w:numId w:val="1"/>
        </w:numPr>
        <w:rPr/>
      </w:pPr>
      <w:r>
        <w:rPr/>
        <w:t>Two HRS Core classification approaches</w:t>
      </w:r>
    </w:p>
    <w:p>
      <w:pPr>
        <w:pStyle w:val="Compact"/>
        <w:numPr>
          <w:ilvl w:val="1"/>
          <w:numId w:val="1"/>
        </w:numPr>
        <w:rPr/>
      </w:pPr>
      <w:r>
        <w:rPr/>
        <w:t>Rule-based core algorithm; probabilistic PMM classification</w:t>
      </w:r>
    </w:p>
    <w:p>
      <w:pPr>
        <w:pStyle w:val="Compact"/>
        <w:numPr>
          <w:ilvl w:val="1"/>
          <w:numId w:val="1"/>
        </w:numPr>
        <w:rPr/>
      </w:pPr>
      <w:r>
        <w:rPr/>
        <w:t>Same HRS/HCAP learning target; distinct measurement and classification assumptions</w:t>
      </w:r>
    </w:p>
    <w:p>
      <w:pPr>
        <w:pStyle w:val="Compact"/>
        <w:numPr>
          <w:ilvl w:val="1"/>
          <w:numId w:val="1"/>
        </w:numPr>
        <w:rPr/>
      </w:pPr>
      <w:r>
        <w:rPr/>
        <w:t>[Provenance:analysis methods]</w:t>
      </w:r>
    </w:p>
    <w:p>
      <w:pPr>
        <w:pStyle w:val="Compact"/>
        <w:numPr>
          <w:ilvl w:val="0"/>
          <w:numId w:val="1"/>
        </w:numPr>
        <w:rPr/>
      </w:pPr>
      <w:r>
        <w:rPr/>
        <w:t>Primary comparison</w:t>
      </w:r>
    </w:p>
    <w:p>
      <w:pPr>
        <w:pStyle w:val="Compact"/>
        <w:numPr>
          <w:ilvl w:val="1"/>
          <w:numId w:val="1"/>
        </w:numPr>
        <w:rPr/>
      </w:pPr>
      <w:r>
        <w:rPr/>
        <w:t>Manly-Jones algorithm; agreement and marginal-distribution evidence</w:t>
      </w:r>
    </w:p>
    <w:p>
      <w:pPr>
        <w:pStyle w:val="Compact"/>
        <w:numPr>
          <w:ilvl w:val="1"/>
          <w:numId w:val="1"/>
        </w:numPr>
        <w:rPr/>
      </w:pPr>
      <w:r>
        <w:rPr/>
        <w:t>[Provenance: Tables 2-4]</w:t>
      </w:r>
    </w:p>
    <w:p>
      <w:pPr>
        <w:pStyle w:val="Compact"/>
        <w:numPr>
          <w:ilvl w:val="0"/>
          <w:numId w:val="1"/>
        </w:numPr>
        <w:rPr/>
      </w:pPr>
      <w:r>
        <w:rPr/>
        <w:t>Secondary comparisons</w:t>
      </w:r>
    </w:p>
    <w:p>
      <w:pPr>
        <w:pStyle w:val="Compact"/>
        <w:numPr>
          <w:ilvl w:val="1"/>
          <w:numId w:val="1"/>
        </w:numPr>
        <w:rPr/>
      </w:pPr>
      <w:r>
        <w:rPr/>
        <w:t>Consensus: small validation subset; inverse-probability weights</w:t>
      </w:r>
    </w:p>
    <w:p>
      <w:pPr>
        <w:pStyle w:val="Compact"/>
        <w:numPr>
          <w:ilvl w:val="1"/>
          <w:numId w:val="1"/>
        </w:numPr>
        <w:rPr/>
      </w:pPr>
      <w:r>
        <w:rPr/>
        <w:t>Langa-Weir and Hudomiet: established HRS comparators; different development targets</w:t>
      </w:r>
    </w:p>
    <w:p>
      <w:pPr>
        <w:pStyle w:val="Compact"/>
        <w:numPr>
          <w:ilvl w:val="1"/>
          <w:numId w:val="1"/>
        </w:numPr>
        <w:rPr/>
      </w:pPr>
      <w:r>
        <w:rPr/>
        <w:t>[Provenance: R/A7_100-comparison_of_diagnoses.R]</w:t>
      </w:r>
    </w:p>
    <w:p>
      <w:pPr>
        <w:pStyle w:val="Compact"/>
        <w:numPr>
          <w:ilvl w:val="0"/>
          <w:numId w:val="1"/>
        </w:numPr>
        <w:rPr/>
      </w:pPr>
      <w:r>
        <w:rPr/>
        <w:t>Interpretation limits</w:t>
      </w:r>
    </w:p>
    <w:p>
      <w:pPr>
        <w:pStyle w:val="Compact"/>
        <w:numPr>
          <w:ilvl w:val="1"/>
          <w:numId w:val="1"/>
        </w:numPr>
        <w:rPr/>
      </w:pPr>
      <w:r>
        <w:rPr/>
        <w:t>Classification agreement; no clinical diagnostic validation outside HCAP consensus subset</w:t>
      </w:r>
    </w:p>
    <w:p>
      <w:pPr>
        <w:pStyle w:val="Compact"/>
        <w:numPr>
          <w:ilvl w:val="1"/>
          <w:numId w:val="1"/>
        </w:numPr>
        <w:rPr/>
      </w:pPr>
      <w:r>
        <w:rPr/>
        <w:t>MCI boundary; model-dependent and threshold-dependent assignments</w:t>
      </w:r>
    </w:p>
    <w:p>
      <w:pPr>
        <w:pStyle w:val="Compact"/>
        <w:numPr>
          <w:ilvl w:val="1"/>
          <w:numId w:val="1"/>
        </w:numPr>
        <w:rPr/>
      </w:pPr>
      <w:r>
        <w:rPr/>
        <w:t>PMM agreement with the Manly-Jones algorithm is in-sample (apparent error rate; McLachlan, 1992); expected to be optimistic relative to application in new samples</w:t>
      </w:r>
    </w:p>
    <w:p>
      <w:pPr>
        <w:pStyle w:val="Compact"/>
        <w:numPr>
          <w:ilvl w:val="1"/>
          <w:numId w:val="1"/>
        </w:numPr>
        <w:rPr/>
      </w:pPr>
      <w:r>
        <w:rPr/>
        <w:t>MCI: Core battery, 1 dimension measured with error, no informant report for tested respondents; PMM MCI probabilities rarely above 0.50 (Results, Figure 2)</w:t>
      </w:r>
    </w:p>
    <w:p>
      <w:pPr>
        <w:pStyle w:val="Compact"/>
        <w:numPr>
          <w:ilvl w:val="1"/>
          <w:numId w:val="1"/>
        </w:numPr>
        <w:spacing w:before="36" w:after="36"/>
        <w:rPr/>
      </w:pPr>
      <w:r>
        <w:rPr/>
        <w:t>[Provenance: analysis design; inference; R/PMM_102_calibration_model.R; R/PMM_114_mci_ceiling.R]</w:t>
      </w:r>
      <w:bookmarkEnd w:id="0"/>
      <w:bookmarkEnd w:id="12"/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swiss"/>
    <w:pitch w:val="variable"/>
  </w:font>
  <w:font w:name="Calibri">
    <w:charset w:val="01"/>
    <w:family w:val="swiss"/>
    <w:pitch w:val="variable"/>
  </w:font>
  <w:font w:name="Consolas">
    <w:charset w:val="01"/>
    <w:family w:val="swiss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-4142820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0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-4142820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0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w:fldChar w:fldCharType="begin"/>
    </w:r>
    <w:r>
      <w:rPr/>
      <w:instrText xml:space="preserve"> DATE \@"yyyy\-MM\-dd" </w:instrText>
    </w:r>
    <w:r>
      <w:rPr/>
      <w:fldChar w:fldCharType="separate"/>
    </w:r>
    <w:r>
      <w:rPr/>
      <w:t>2026-10-22</w:t>
    </w:r>
    <w:r>
      <w:rPr/>
      <w:fldChar w:fldCharType="end"/>
    </w:r>
    <w:r>
      <mc:AlternateContent>
        <mc:Choice Requires="wps">
          <w:drawing>
            <wp:anchor distT="0" distB="0" distL="0" distR="0" simplePos="0" relativeHeight="10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6515" cy="116840"/>
              <wp:effectExtent l="0" t="0" r="0" b="0"/>
              <wp:wrapNone/>
              <wp:docPr id="2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515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142559779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9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45pt;height:9.2pt;mso-wrap-distance-left:0pt;mso-wrap-distance-right:0pt;mso-wrap-distance-top:0pt;mso-wrap-distance-bottom:0pt;margin-top:0.05pt;mso-position-vertical-relative:text;margin-left:463.55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142559779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9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w:fldChar w:fldCharType="begin"/>
    </w:r>
    <w:r>
      <w:rPr/>
      <w:instrText xml:space="preserve"> DATE \@"yyyy\-MM\-dd" </w:instrText>
    </w:r>
    <w:r>
      <w:rPr/>
      <w:fldChar w:fldCharType="separate"/>
    </w:r>
    <w:r>
      <w:rPr/>
      <w:t>2026-10-22</w:t>
    </w:r>
    <w:r>
      <w:rPr/>
      <w:fldChar w:fldCharType="end"/>
    </w:r>
    <w:r>
      <mc:AlternateContent>
        <mc:Choice Requires="wps">
          <w:drawing>
            <wp:anchor distT="0" distB="0" distL="0" distR="0" simplePos="0" relativeHeight="10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6515" cy="116840"/>
              <wp:effectExtent l="0" t="0" r="0" b="0"/>
              <wp:wrapNone/>
              <wp:docPr id="3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515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142559779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9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45pt;height:9.2pt;mso-wrap-distance-left:0pt;mso-wrap-distance-right:0pt;mso-wrap-distance-top:0pt;mso-wrap-distance-bottom:0pt;margin-top:0.05pt;mso-position-vertical-relative:text;margin-left:463.55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142559779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9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</w:numbering>
</file>

<file path=word/settings.xml><?xml version="1.0" encoding="utf-8"?>
<w:settings xmlns:w="http://schemas.openxmlformats.org/wordprocessingml/2006/main">
  <w:zoom w:percent="96"/>
  <w:embedSystemFont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uiPriority="39" w:semiHidden="1" w:unhideWhenUsed="1"/>
    <w:lsdException w:name="toc 3" w:uiPriority="39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81da6"/>
    <w:pPr>
      <w:widowControl/>
      <w:bidi w:val="0"/>
      <w:spacing w:before="0" w:after="0"/>
      <w:jc w:val="left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rsid w:val="00b00530"/>
    <w:pPr>
      <w:keepNext w:val="true"/>
      <w:keepLines/>
      <w:spacing w:before="220" w:after="0"/>
      <w:outlineLvl w:val="0"/>
    </w:pPr>
    <w:rPr>
      <w:rFonts w:eastAsia="" w:cs="" w:cstheme="majorBidi" w:eastAsiaTheme="majorEastAsia"/>
      <w:b/>
      <w:bCs/>
      <w:color w:themeColor="text1" w:val="00000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b85d98"/>
    <w:pPr>
      <w:keepNext w:val="true"/>
      <w:keepLines/>
      <w:spacing w:before="120" w:after="120"/>
      <w:outlineLvl w:val="1"/>
    </w:pPr>
    <w:rPr>
      <w:rFonts w:eastAsia="" w:cs="" w:cstheme="majorBidi" w:eastAsiaTheme="majorEastAsia"/>
      <w:b/>
      <w:bCs/>
      <w:i/>
      <w:color w:themeColor="text1" w:val="000000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c80241"/>
    <w:pPr>
      <w:keepNext w:val="true"/>
      <w:keepLines/>
      <w:spacing w:before="220" w:after="0"/>
      <w:outlineLvl w:val="2"/>
    </w:pPr>
    <w:rPr>
      <w:rFonts w:eastAsia="" w:cs="" w:cstheme="majorBidi" w:eastAsiaTheme="majorEastAsia"/>
      <w:bCs/>
      <w:i/>
      <w:color w:themeColor="text1" w:val="000000"/>
      <w:u w:val="single"/>
    </w:rPr>
  </w:style>
  <w:style w:type="paragraph" w:styleId="Heading4">
    <w:name w:val="heading 4"/>
    <w:basedOn w:val="Normal"/>
    <w:next w:val="BodyText"/>
    <w:uiPriority w:val="9"/>
    <w:unhideWhenUsed/>
    <w:qFormat/>
    <w:rsid w:val="00e500c9"/>
    <w:pPr>
      <w:keepNext w:val="true"/>
      <w:keepLines/>
      <w:spacing w:before="220" w:after="0"/>
      <w:outlineLvl w:val="3"/>
    </w:pPr>
    <w:rPr>
      <w:rFonts w:eastAsia="" w:cs="" w:cstheme="majorBidi" w:eastAsiaTheme="majorEastAsia"/>
      <w:bCs/>
      <w:i/>
      <w:color w:themeColor="background1" w:val="FFFFFF"/>
    </w:rPr>
  </w:style>
  <w:style w:type="paragraph" w:styleId="Heading5">
    <w:name w:val="heading 5"/>
    <w:basedOn w:val="Normal"/>
    <w:next w:val="BodyText"/>
    <w:uiPriority w:val="9"/>
    <w:unhideWhenUsed/>
    <w:qFormat/>
    <w:rsid w:val="000d5f49"/>
    <w:pPr>
      <w:keepNext w:val="true"/>
      <w:keepLines/>
      <w:pageBreakBefore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background1" w:val="FFFFFF"/>
      <w:sz w:val="20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ptionChar" w:customStyle="1">
    <w:name w:val="Caption Char"/>
    <w:basedOn w:val="DefaultParagraphFont"/>
    <w:link w:val="Caption"/>
    <w:qFormat/>
    <w:rsid w:val="00a70c7c"/>
    <w:rPr>
      <w:rFonts w:ascii="Arial" w:hAnsi="Arial"/>
      <w:i/>
      <w:sz w:val="22"/>
    </w:rPr>
  </w:style>
  <w:style w:type="character" w:styleId="VerbatimChar" w:customStyle="1">
    <w:name w:val="Verbatim Char"/>
    <w:basedOn w:val="CaptionChar"/>
    <w:link w:val="SourceCode"/>
    <w:qFormat/>
    <w:rsid w:val="00a11931"/>
    <w:rPr>
      <w:rFonts w:ascii="Consolas" w:hAnsi="Consolas"/>
      <w:i w:val="false"/>
      <w:sz w:val="18"/>
      <w:shd w:fill="F8F8F8" w:val="clear"/>
    </w:rPr>
  </w:style>
  <w:style w:type="character" w:styleId="SectionNumber" w:customStyle="1">
    <w:name w:val="Section Number"/>
    <w:basedOn w:val="CaptionChar"/>
    <w:qFormat/>
    <w:rPr>
      <w:rFonts w:ascii="Arial" w:hAnsi="Arial"/>
      <w:i/>
      <w:sz w:val="22"/>
    </w:rPr>
  </w:style>
  <w:style w:type="character" w:styleId="FootnoteCharacters">
    <w:name w:val="Footnote Characters"/>
    <w:basedOn w:val="CaptionChar"/>
    <w:qFormat/>
    <w:rPr>
      <w:rFonts w:ascii="Arial" w:hAnsi="Arial"/>
      <w:i/>
      <w:sz w:val="22"/>
      <w:vertAlign w:val="superscript"/>
    </w:rPr>
  </w:style>
  <w:style w:type="character" w:styleId="FootnoteReference">
    <w:name w:val="footnote reference"/>
    <w:rPr>
      <w:rFonts w:ascii="Arial" w:hAnsi="Arial"/>
      <w:i/>
      <w:sz w:val="22"/>
      <w:vertAlign w:val="superscript"/>
    </w:rPr>
  </w:style>
  <w:style w:type="character" w:styleId="Hyperlink">
    <w:name w:val="Hyperlink"/>
    <w:basedOn w:val="CaptionChar"/>
    <w:uiPriority w:val="99"/>
    <w:rsid w:val="004d740f"/>
    <w:rPr>
      <w:rFonts w:ascii="Arial" w:hAnsi="Arial"/>
      <w:i w:val="false"/>
      <w:color w:themeColor="text2" w:val="1F497D"/>
      <w:sz w:val="22"/>
      <w:u w:val="single"/>
    </w:rPr>
  </w:style>
  <w:style w:type="character" w:styleId="KeywordTok" w:customStyle="1">
    <w:name w:val="KeywordTok"/>
    <w:basedOn w:val="VerbatimChar"/>
    <w:qFormat/>
    <w:rsid w:val="00833e34"/>
    <w:rPr>
      <w:rFonts w:ascii="Consolas" w:hAnsi="Consolas"/>
      <w:b w:val="false"/>
      <w:i w:val="false"/>
      <w:color w:themeColor="text1" w:val="000000"/>
      <w:sz w:val="18"/>
      <w:shd w:fill="F8F8F8" w:val="clear"/>
    </w:rPr>
  </w:style>
  <w:style w:type="character" w:styleId="DataTypeTok" w:customStyle="1">
    <w:name w:val="DataType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DecValTok" w:customStyle="1">
    <w:name w:val="DecValTok"/>
    <w:basedOn w:val="VerbatimChar"/>
    <w:qFormat/>
    <w:rsid w:val="00b1601b"/>
    <w:rPr>
      <w:rFonts w:ascii="Consolas" w:hAnsi="Consolas"/>
      <w:i/>
      <w:color w:themeColor="text1" w:val="000000"/>
      <w:sz w:val="16"/>
      <w:shd w:fill="F8F8F8" w:val="clear"/>
    </w:rPr>
  </w:style>
  <w:style w:type="character" w:styleId="BaseNTok" w:customStyle="1">
    <w:name w:val="BaseNTok"/>
    <w:basedOn w:val="VerbatimChar"/>
    <w:qFormat/>
    <w:rsid w:val="00b00530"/>
    <w:rPr>
      <w:rFonts w:ascii="Consolas" w:hAnsi="Consolas"/>
      <w:i w:val="false"/>
      <w:color w:val="0000CF"/>
      <w:sz w:val="18"/>
      <w:shd w:fill="F8F8F8" w:val="clear"/>
    </w:rPr>
  </w:style>
  <w:style w:type="character" w:styleId="FloatTok" w:customStyle="1">
    <w:name w:val="FloatTok"/>
    <w:basedOn w:val="VerbatimChar"/>
    <w:qFormat/>
    <w:rsid w:val="00b00530"/>
    <w:rPr>
      <w:rFonts w:ascii="Consolas" w:hAnsi="Consolas"/>
      <w:i w:val="false"/>
      <w:color w:val="0000CF"/>
      <w:sz w:val="18"/>
      <w:shd w:fill="F8F8F8" w:val="clear"/>
    </w:rPr>
  </w:style>
  <w:style w:type="character" w:styleId="ConstantTok" w:customStyle="1">
    <w:name w:val="Constant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CharTok" w:customStyle="1">
    <w:name w:val="Char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SpecialCharTok" w:customStyle="1">
    <w:name w:val="SpecialChar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StringTok" w:customStyle="1">
    <w:name w:val="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VerbatimStringTok" w:customStyle="1">
    <w:name w:val="Verbatim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SpecialStringTok" w:customStyle="1">
    <w:name w:val="Special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ImportTok" w:customStyle="1">
    <w:name w:val="Import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CommentTok" w:customStyle="1">
    <w:name w:val="Comment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DocumentationTok" w:customStyle="1">
    <w:name w:val="Document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AnnotationTok" w:customStyle="1">
    <w:name w:val="Annot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CommentVarTok" w:customStyle="1">
    <w:name w:val="CommentVar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OtherTok" w:customStyle="1">
    <w:name w:val="Other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FunctionTok" w:customStyle="1">
    <w:name w:val="FunctionTok"/>
    <w:basedOn w:val="VerbatimChar"/>
    <w:qFormat/>
    <w:rsid w:val="00b00530"/>
    <w:rPr>
      <w:rFonts w:ascii="Consolas" w:hAnsi="Consolas"/>
      <w:i/>
      <w:color w:val="000000"/>
      <w:sz w:val="18"/>
      <w:shd w:fill="F8F8F8" w:val="clear"/>
    </w:rPr>
  </w:style>
  <w:style w:type="character" w:styleId="VariableTok" w:customStyle="1">
    <w:name w:val="Variable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ControlFlowTok" w:customStyle="1">
    <w:name w:val="ControlFlowTok"/>
    <w:basedOn w:val="VerbatimChar"/>
    <w:qFormat/>
    <w:rsid w:val="00b00530"/>
    <w:rPr>
      <w:rFonts w:ascii="Consolas" w:hAnsi="Consolas"/>
      <w:b/>
      <w:i w:val="false"/>
      <w:color w:val="204A87"/>
      <w:sz w:val="18"/>
      <w:shd w:fill="F8F8F8" w:val="clear"/>
    </w:rPr>
  </w:style>
  <w:style w:type="character" w:styleId="OperatorTok" w:customStyle="1">
    <w:name w:val="OperatorTok"/>
    <w:basedOn w:val="VerbatimChar"/>
    <w:qFormat/>
    <w:rsid w:val="00b00530"/>
    <w:rPr>
      <w:rFonts w:ascii="Consolas" w:hAnsi="Consolas"/>
      <w:b/>
      <w:i w:val="false"/>
      <w:color w:val="CE5C00"/>
      <w:sz w:val="18"/>
      <w:shd w:fill="F8F8F8" w:val="clear"/>
    </w:rPr>
  </w:style>
  <w:style w:type="character" w:styleId="BuiltInTok" w:customStyle="1">
    <w:name w:val="BuiltIn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ExtensionTok" w:customStyle="1">
    <w:name w:val="Extension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PreprocessorTok" w:customStyle="1">
    <w:name w:val="PreprocessorTok"/>
    <w:basedOn w:val="VerbatimChar"/>
    <w:qFormat/>
    <w:rsid w:val="00b00530"/>
    <w:rPr>
      <w:rFonts w:ascii="Consolas" w:hAnsi="Consolas"/>
      <w:i/>
      <w:color w:val="8F5902"/>
      <w:sz w:val="18"/>
      <w:shd w:fill="F8F8F8" w:val="clear"/>
    </w:rPr>
  </w:style>
  <w:style w:type="character" w:styleId="AttributeTok" w:customStyle="1">
    <w:name w:val="AttributeTok"/>
    <w:basedOn w:val="VerbatimChar"/>
    <w:qFormat/>
    <w:rsid w:val="00b00530"/>
    <w:rPr>
      <w:rFonts w:ascii="Consolas" w:hAnsi="Consolas"/>
      <w:i w:val="false"/>
      <w:color w:val="C4A000"/>
      <w:sz w:val="18"/>
      <w:shd w:fill="F8F8F8" w:val="clear"/>
    </w:rPr>
  </w:style>
  <w:style w:type="character" w:styleId="RegionMarkerTok" w:customStyle="1">
    <w:name w:val="RegionMarker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InformationTok" w:customStyle="1">
    <w:name w:val="Inform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WarningTok" w:customStyle="1">
    <w:name w:val="Warning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AlertTok" w:customStyle="1">
    <w:name w:val="AlertTok"/>
    <w:basedOn w:val="VerbatimChar"/>
    <w:qFormat/>
    <w:rsid w:val="00b00530"/>
    <w:rPr>
      <w:rFonts w:ascii="Consolas" w:hAnsi="Consolas"/>
      <w:i w:val="false"/>
      <w:color w:val="EF2929"/>
      <w:sz w:val="18"/>
      <w:shd w:fill="F8F8F8" w:val="clear"/>
    </w:rPr>
  </w:style>
  <w:style w:type="character" w:styleId="ErrorTok" w:customStyle="1">
    <w:name w:val="ErrorTok"/>
    <w:basedOn w:val="VerbatimChar"/>
    <w:qFormat/>
    <w:rsid w:val="00b00530"/>
    <w:rPr>
      <w:rFonts w:ascii="Consolas" w:hAnsi="Consolas"/>
      <w:b/>
      <w:i w:val="false"/>
      <w:color w:val="A40000"/>
      <w:sz w:val="18"/>
      <w:shd w:fill="F8F8F8" w:val="clear"/>
    </w:rPr>
  </w:style>
  <w:style w:type="character" w:styleId="NormalTok" w:customStyle="1">
    <w:name w:val="Normal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BodyTextChar" w:customStyle="1">
    <w:name w:val="Body Text Char"/>
    <w:basedOn w:val="DefaultParagraphFont"/>
    <w:qFormat/>
    <w:rsid w:val="0098354d"/>
    <w:rPr>
      <w:rFonts w:ascii="Arial" w:hAnsi="Arial"/>
      <w:sz w:val="22"/>
    </w:rPr>
  </w:style>
  <w:style w:type="character" w:styleId="BalloonTextChar" w:customStyle="1">
    <w:name w:val="Balloon Text Char"/>
    <w:basedOn w:val="DefaultParagraphFont"/>
    <w:link w:val="BalloonText"/>
    <w:qFormat/>
    <w:rsid w:val="00a70c7c"/>
    <w:rPr>
      <w:rFonts w:ascii="Calibri" w:hAnsi="Calibri" w:cs="Times New Roman" w:asciiTheme="majorHAnsi" w:hAnsiTheme="majorHAnsi"/>
      <w:sz w:val="18"/>
      <w:szCs w:val="18"/>
    </w:rPr>
  </w:style>
  <w:style w:type="character" w:styleId="BodyText2Char" w:customStyle="1">
    <w:name w:val="Body Text 2 Char"/>
    <w:basedOn w:val="DefaultParagraphFont"/>
    <w:link w:val="BodyText2"/>
    <w:qFormat/>
    <w:rsid w:val="00a70c7c"/>
    <w:rPr>
      <w:rFonts w:ascii="Arial" w:hAnsi="Arial"/>
      <w:sz w:val="22"/>
    </w:rPr>
  </w:style>
  <w:style w:type="character" w:styleId="BodyText3Char" w:customStyle="1">
    <w:name w:val="Body Text 3 Char"/>
    <w:basedOn w:val="DefaultParagraphFont"/>
    <w:link w:val="BodyText3"/>
    <w:qFormat/>
    <w:rsid w:val="00a70c7c"/>
    <w:rPr>
      <w:rFonts w:ascii="Arial" w:hAnsi="Arial"/>
      <w:sz w:val="22"/>
      <w:szCs w:val="16"/>
    </w:rPr>
  </w:style>
  <w:style w:type="character" w:styleId="BodyTextFirstIndentChar" w:customStyle="1">
    <w:name w:val="Body Text First Indent Char"/>
    <w:basedOn w:val="BodyTextChar"/>
    <w:semiHidden/>
    <w:qFormat/>
    <w:rsid w:val="00a70c7c"/>
    <w:rPr>
      <w:rFonts w:ascii="Arial" w:hAnsi="Arial"/>
      <w:sz w:val="22"/>
    </w:rPr>
  </w:style>
  <w:style w:type="character" w:styleId="BodyTextIndent3Char" w:customStyle="1">
    <w:name w:val="Body Text Indent 3 Char"/>
    <w:basedOn w:val="DefaultParagraphFont"/>
    <w:link w:val="BodyTextIndent3"/>
    <w:semiHidden/>
    <w:qFormat/>
    <w:rsid w:val="00a70c7c"/>
    <w:rPr>
      <w:rFonts w:ascii="Arial" w:hAnsi="Arial"/>
      <w:sz w:val="22"/>
      <w:szCs w:val="16"/>
    </w:rPr>
  </w:style>
  <w:style w:type="character" w:styleId="BodyTextIndent2Char" w:customStyle="1">
    <w:name w:val="Body Text Indent 2 Char"/>
    <w:basedOn w:val="DefaultParagraphFont"/>
    <w:link w:val="BodyTextIndent2"/>
    <w:semiHidden/>
    <w:qFormat/>
    <w:rsid w:val="00a70c7c"/>
    <w:rPr>
      <w:rFonts w:ascii="Arial" w:hAnsi="Arial"/>
      <w:sz w:val="22"/>
    </w:rPr>
  </w:style>
  <w:style w:type="character" w:styleId="FooterChar" w:customStyle="1">
    <w:name w:val="Footer Char"/>
    <w:basedOn w:val="DefaultParagraphFont"/>
    <w:link w:val="Footer"/>
    <w:qFormat/>
    <w:rsid w:val="00a0085e"/>
    <w:rPr>
      <w:rFonts w:ascii="Arial" w:hAnsi="Arial"/>
      <w:sz w:val="16"/>
    </w:rPr>
  </w:style>
  <w:style w:type="character" w:styleId="PageNumber">
    <w:name w:val="page number"/>
    <w:basedOn w:val="DefaultParagraphFont"/>
    <w:semiHidden/>
    <w:unhideWhenUsed/>
    <w:rsid w:val="00a0085e"/>
    <w:rPr/>
  </w:style>
  <w:style w:type="character" w:styleId="HeaderChar" w:customStyle="1">
    <w:name w:val="Header Char"/>
    <w:basedOn w:val="DefaultParagraphFont"/>
    <w:link w:val="Header"/>
    <w:qFormat/>
    <w:rsid w:val="00a0085e"/>
    <w:rPr>
      <w:rFonts w:ascii="Arial" w:hAnsi="Arial"/>
      <w:sz w:val="22"/>
    </w:rPr>
  </w:style>
  <w:style w:type="character" w:styleId="MacroTextChar" w:customStyle="1">
    <w:name w:val="Macro Text Char"/>
    <w:basedOn w:val="DefaultParagraphFont"/>
    <w:link w:val="MacroText"/>
    <w:semiHidden/>
    <w:qFormat/>
    <w:rsid w:val="00b00530"/>
    <w:rPr>
      <w:rFonts w:ascii="Consolas" w:hAnsi="Consolas" w:cs="Consolas"/>
      <w:sz w:val="18"/>
      <w:szCs w:val="20"/>
    </w:rPr>
  </w:style>
  <w:style w:type="character" w:styleId="PlainTextChar" w:customStyle="1">
    <w:name w:val="Plain Text Char"/>
    <w:basedOn w:val="DefaultParagraphFont"/>
    <w:link w:val="PlainText"/>
    <w:semiHidden/>
    <w:qFormat/>
    <w:rsid w:val="00b00530"/>
    <w:rPr>
      <w:rFonts w:ascii="Consolas" w:hAnsi="Consolas" w:cs="Consolas"/>
      <w:sz w:val="18"/>
      <w:szCs w:val="2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link w:val="BodyTextChar"/>
    <w:qFormat/>
    <w:rsid w:val="0098354d"/>
    <w:pPr>
      <w:spacing w:lineRule="auto" w:line="360" w:before="180" w:after="18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link w:val="CaptionChar"/>
    <w:qFormat/>
    <w:rsid w:val="00a70c7c"/>
    <w:pPr/>
    <w:rPr>
      <w:i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rsid w:val="0011024e"/>
    <w:pPr>
      <w:spacing w:before="36" w:after="36"/>
    </w:pPr>
    <w:rPr>
      <w:sz w:val="20"/>
    </w:rPr>
  </w:style>
  <w:style w:type="paragraph" w:styleId="Title">
    <w:name w:val="Title"/>
    <w:basedOn w:val="Normal"/>
    <w:next w:val="BodyText"/>
    <w:qFormat/>
    <w:rsid w:val="0098354d"/>
    <w:pPr>
      <w:keepNext w:val="true"/>
      <w:keepLines/>
      <w:spacing w:before="0" w:after="200"/>
      <w:jc w:val="center"/>
    </w:pPr>
    <w:rPr>
      <w:rFonts w:eastAsia="" w:cs="" w:cstheme="majorBidi" w:eastAsiaTheme="majorEastAsia"/>
      <w:b/>
      <w:bCs/>
      <w:color w:themeColor="text1" w:val="000000"/>
      <w:szCs w:val="36"/>
    </w:rPr>
  </w:style>
  <w:style w:type="paragraph" w:styleId="Subtitle">
    <w:name w:val="Subtitle"/>
    <w:basedOn w:val="Title"/>
    <w:next w:val="BodyText"/>
    <w:qFormat/>
    <w:pPr>
      <w:spacing w:before="240" w:after="240"/>
    </w:pPr>
    <w:rPr>
      <w:sz w:val="30"/>
      <w:szCs w:val="30"/>
    </w:rPr>
  </w:style>
  <w:style w:type="paragraph" w:styleId="Author" w:customStyle="1">
    <w:name w:val="Author"/>
    <w:next w:val="BodyText"/>
    <w:qFormat/>
    <w:rsid w:val="0098354d"/>
    <w:pPr>
      <w:keepNext w:val="true"/>
      <w:keepLines/>
      <w:widowControl/>
      <w:bidi w:val="0"/>
      <w:spacing w:before="40" w:after="220"/>
      <w:jc w:val="center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Date">
    <w:name w:val="Date"/>
    <w:next w:val="BodyText"/>
    <w:qFormat/>
    <w:rsid w:val="0098354d"/>
    <w:pPr>
      <w:keepNext w:val="true"/>
      <w:keepLines/>
      <w:widowControl/>
      <w:bidi w:val="0"/>
      <w:spacing w:before="0" w:after="220"/>
      <w:jc w:val="center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Abstract" w:customStyle="1">
    <w:name w:val="Abstract"/>
    <w:basedOn w:val="Normal"/>
    <w:next w:val="BodyText"/>
    <w:qFormat/>
    <w:rsid w:val="0098354d"/>
    <w:pPr>
      <w:keepNext w:val="true"/>
      <w:keepLines/>
      <w:spacing w:lineRule="auto" w:line="360" w:before="220" w:after="220"/>
      <w:ind w:left="720" w:right="720"/>
    </w:pPr>
    <w:rPr>
      <w:sz w:val="20"/>
      <w:szCs w:val="20"/>
    </w:rPr>
  </w:style>
  <w:style w:type="paragraph" w:styleId="Bibliography">
    <w:name w:val="Bibliography"/>
    <w:basedOn w:val="Normal"/>
    <w:qFormat/>
    <w:rsid w:val="00a75392"/>
    <w:pPr>
      <w:spacing w:before="0" w:after="220"/>
      <w:ind w:hanging="720" w:left="720"/>
    </w:pPr>
    <w:rPr/>
  </w:style>
  <w:style w:type="paragraph" w:styleId="BlockText">
    <w:name w:val="Block Text"/>
    <w:basedOn w:val="BodyText"/>
    <w:next w:val="BodyText"/>
    <w:uiPriority w:val="9"/>
    <w:unhideWhenUsed/>
    <w:qFormat/>
    <w:rsid w:val="00d81da6"/>
    <w:pPr>
      <w:pBdr>
        <w:left w:val="single" w:sz="4" w:space="4" w:color="000000"/>
      </w:pBdr>
      <w:spacing w:before="0" w:after="0"/>
      <w:ind w:left="475" w:right="475"/>
    </w:pPr>
    <w:rPr>
      <w:i/>
    </w:rPr>
  </w:style>
  <w:style w:type="paragraph" w:styleId="FootnoteText">
    <w:name w:val="footnote text"/>
    <w:basedOn w:val="Normal"/>
    <w:uiPriority w:val="9"/>
    <w:unhideWhenUsed/>
    <w:qFormat/>
    <w:rsid w:val="00cc7ff9"/>
    <w:pPr/>
    <w:rPr>
      <w:sz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rsid w:val="002c20de"/>
    <w:pPr>
      <w:spacing w:before="100" w:after="220"/>
    </w:pPr>
    <w:rPr>
      <w:b/>
      <w:i w:val="false"/>
      <w:sz w:val="20"/>
    </w:rPr>
  </w:style>
  <w:style w:type="paragraph" w:styleId="Figure" w:customStyle="1">
    <w:name w:val="Figure"/>
    <w:basedOn w:val="Normal"/>
    <w:qFormat/>
    <w:rsid w:val="00e2640b"/>
    <w:pPr>
      <w:jc w:val="center"/>
    </w:pPr>
    <w:rPr/>
  </w:style>
  <w:style w:type="paragraph" w:styleId="CaptionedFigure" w:customStyle="1">
    <w:name w:val="Captioned Figure"/>
    <w:basedOn w:val="Figure"/>
    <w:qFormat/>
    <w:rsid w:val="00e2640b"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rsid w:val="00c80241"/>
    <w:pPr>
      <w:spacing w:lineRule="auto" w:line="259" w:before="220" w:after="120"/>
      <w:outlineLvl w:val="9"/>
    </w:pPr>
    <w:rPr>
      <w:bCs w:val="false"/>
    </w:rPr>
  </w:style>
  <w:style w:type="paragraph" w:styleId="SourceCode" w:customStyle="1">
    <w:name w:val="Source Code"/>
    <w:basedOn w:val="Normal"/>
    <w:link w:val="VerbatimChar"/>
    <w:qFormat/>
    <w:rsid w:val="00a11931"/>
    <w:pPr>
      <w:shd w:val="clear" w:color="auto" w:fill="F8F8F8"/>
    </w:pPr>
    <w:rPr>
      <w:rFonts w:ascii="Consolas" w:hAnsi="Consolas"/>
      <w:sz w:val="18"/>
    </w:rPr>
  </w:style>
  <w:style w:type="paragraph" w:styleId="BalloonText">
    <w:name w:val="Balloon Text"/>
    <w:basedOn w:val="Normal"/>
    <w:link w:val="BalloonTextChar"/>
    <w:unhideWhenUsed/>
    <w:qFormat/>
    <w:rsid w:val="00a70c7c"/>
    <w:pPr/>
    <w:rPr>
      <w:rFonts w:ascii="Calibri" w:hAnsi="Calibri" w:cs="Times New Roman" w:asciiTheme="majorHAnsi" w:hAnsiTheme="majorHAnsi"/>
      <w:sz w:val="18"/>
      <w:szCs w:val="18"/>
    </w:rPr>
  </w:style>
  <w:style w:type="paragraph" w:styleId="BodyText2">
    <w:name w:val="Body Text 2"/>
    <w:basedOn w:val="Normal"/>
    <w:link w:val="BodyText2Char"/>
    <w:qFormat/>
    <w:rsid w:val="00a70c7c"/>
    <w:pPr/>
    <w:rPr/>
  </w:style>
  <w:style w:type="paragraph" w:styleId="BodyText3">
    <w:name w:val="Body Text 3"/>
    <w:basedOn w:val="Normal"/>
    <w:link w:val="BodyText3Char"/>
    <w:qFormat/>
    <w:rsid w:val="00a70c7c"/>
    <w:pPr/>
    <w:rPr>
      <w:szCs w:val="16"/>
    </w:rPr>
  </w:style>
  <w:style w:type="paragraph" w:styleId="BodyTextFirstIndent">
    <w:name w:val="Body Text First Indent"/>
    <w:basedOn w:val="BodyText"/>
    <w:link w:val="BodyTextFirstIndentChar"/>
    <w:semiHidden/>
    <w:unhideWhenUsed/>
    <w:rsid w:val="00a70c7c"/>
    <w:pPr>
      <w:spacing w:before="0" w:after="0"/>
      <w:ind w:firstLine="360"/>
    </w:pPr>
    <w:rPr/>
  </w:style>
  <w:style w:type="paragraph" w:styleId="BodyTextIndent3">
    <w:name w:val="Body Text Indent 3"/>
    <w:basedOn w:val="Normal"/>
    <w:link w:val="BodyTextIndent3Char"/>
    <w:semiHidden/>
    <w:unhideWhenUsed/>
    <w:qFormat/>
    <w:rsid w:val="00a70c7c"/>
    <w:pPr>
      <w:ind w:left="360"/>
    </w:pPr>
    <w:rPr>
      <w:szCs w:val="16"/>
    </w:rPr>
  </w:style>
  <w:style w:type="paragraph" w:styleId="BodyTextIndent2">
    <w:name w:val="Body Text Indent 2"/>
    <w:basedOn w:val="Normal"/>
    <w:link w:val="BodyTextIndent2Char"/>
    <w:semiHidden/>
    <w:unhideWhenUsed/>
    <w:qFormat/>
    <w:rsid w:val="00a70c7c"/>
    <w:pPr>
      <w:ind w:left="360"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nhideWhenUsed/>
    <w:rsid w:val="00a0085e"/>
    <w:pPr>
      <w:tabs>
        <w:tab w:val="clear" w:pos="720"/>
        <w:tab w:val="center" w:pos="4680" w:leader="none"/>
        <w:tab w:val="right" w:pos="9360" w:leader="none"/>
      </w:tabs>
    </w:pPr>
    <w:rPr>
      <w:sz w:val="16"/>
    </w:rPr>
  </w:style>
  <w:style w:type="paragraph" w:styleId="Header">
    <w:name w:val="header"/>
    <w:basedOn w:val="Normal"/>
    <w:link w:val="HeaderChar"/>
    <w:unhideWhenUsed/>
    <w:rsid w:val="00a0085e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OC2">
    <w:name w:val="toc 2"/>
    <w:basedOn w:val="Normal"/>
    <w:next w:val="Normal"/>
    <w:autoRedefine/>
    <w:uiPriority w:val="39"/>
    <w:unhideWhenUsed/>
    <w:rsid w:val="00a11931"/>
    <w:pPr>
      <w:spacing w:before="0" w:after="100"/>
      <w:ind w:lef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a11931"/>
    <w:pPr>
      <w:spacing w:before="0" w:after="100"/>
      <w:ind w:left="440"/>
    </w:pPr>
    <w:rPr/>
  </w:style>
  <w:style w:type="paragraph" w:styleId="MacroText">
    <w:name w:val="macro"/>
    <w:link w:val="MacroTextChar"/>
    <w:semiHidden/>
    <w:unhideWhenUsed/>
    <w:qFormat/>
    <w:rsid w:val="00b00530"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bidi w:val="0"/>
      <w:spacing w:before="0" w:after="0"/>
      <w:jc w:val="left"/>
    </w:pPr>
    <w:rPr>
      <w:rFonts w:ascii="Consolas" w:hAnsi="Consolas" w:cs="Consolas" w:eastAsia="Cambria" w:eastAsiaTheme="minorHAnsi"/>
      <w:color w:val="auto"/>
      <w:kern w:val="0"/>
      <w:sz w:val="18"/>
      <w:szCs w:val="20"/>
      <w:lang w:val="en-US" w:eastAsia="en-US" w:bidi="ar-SA"/>
    </w:rPr>
  </w:style>
  <w:style w:type="paragraph" w:styleId="PlainText">
    <w:name w:val="Plain Text"/>
    <w:basedOn w:val="Normal"/>
    <w:link w:val="PlainTextChar"/>
    <w:semiHidden/>
    <w:unhideWhenUsed/>
    <w:qFormat/>
    <w:rsid w:val="00b00530"/>
    <w:pPr/>
    <w:rPr>
      <w:rFonts w:ascii="Consolas" w:hAnsi="Consolas" w:cs="Consolas"/>
      <w:sz w:val="18"/>
      <w:szCs w:val="21"/>
    </w:rPr>
  </w:style>
  <w:style w:type="paragraph" w:styleId="center" w:customStyle="1">
    <w:name w:val="center"/>
    <w:basedOn w:val="BodyText"/>
    <w:qFormat/>
    <w:rsid w:val="00977e86"/>
    <w:pPr>
      <w:jc w:val="center"/>
    </w:pPr>
    <w:rPr/>
  </w:style>
  <w:style w:type="paragraph" w:styleId="footnotesize" w:customStyle="1">
    <w:name w:val="footnotesize"/>
    <w:basedOn w:val="BodyText"/>
    <w:qFormat/>
    <w:rsid w:val="00da6f82"/>
    <w:pPr/>
    <w:rPr>
      <w:sz w:val="16"/>
    </w:rPr>
  </w:style>
  <w:style w:type="paragraph" w:styleId="detailbox" w:customStyle="1">
    <w:name w:val="detailbox"/>
    <w:basedOn w:val="BodyText"/>
    <w:qFormat/>
    <w:rsid w:val="0071606c"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hd w:val="clear" w:color="auto" w:fill="D9D9D9" w:themeFill="background1" w:themeFillShade="d9"/>
    </w:pPr>
    <w:rPr>
      <w:sz w:val="18"/>
    </w:rPr>
  </w:style>
  <w:style w:type="paragraph" w:styleId="Author-Name" w:customStyle="1">
    <w:name w:val="Author-Name"/>
    <w:basedOn w:val="FirstParagraph"/>
    <w:qFormat/>
    <w:rsid w:val="009e1494"/>
    <w:pPr>
      <w:spacing w:lineRule="auto" w:line="240" w:before="100" w:after="0"/>
      <w:ind w:left="1440" w:right="1440"/>
      <w:jc w:val="center"/>
    </w:pPr>
    <w:rPr>
      <w:b/>
      <w:bCs/>
    </w:rPr>
  </w:style>
  <w:style w:type="paragraph" w:styleId="Author-Affiliation" w:customStyle="1">
    <w:name w:val="Author-Affiliation"/>
    <w:basedOn w:val="Author-Name"/>
    <w:qFormat/>
    <w:rsid w:val="009e1494"/>
    <w:pPr>
      <w:spacing w:before="0" w:after="0"/>
    </w:pPr>
    <w:rPr>
      <w:b w:val="false"/>
    </w:rPr>
  </w:style>
  <w:style w:type="paragraph" w:styleId="Author-email" w:customStyle="1">
    <w:name w:val="Author-email"/>
    <w:basedOn w:val="Author-Affiliation"/>
    <w:qFormat/>
    <w:rsid w:val="008f24ce"/>
    <w:pPr/>
    <w:rPr>
      <w:i/>
      <w:iCs/>
    </w:rPr>
  </w:style>
  <w:style w:type="paragraph" w:styleId="Author-ORCID" w:customStyle="1">
    <w:name w:val="Author-ORCID"/>
    <w:basedOn w:val="BodyText"/>
    <w:qFormat/>
    <w:rsid w:val="00965f7e"/>
    <w:pPr>
      <w:spacing w:lineRule="auto" w:line="240" w:before="0" w:after="0"/>
      <w:ind w:left="1440" w:right="1440"/>
      <w:jc w:val="center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table" w:styleId="ListTable3-Accent2">
    <w:name w:val="List Table 3 Accent 2"/>
    <w:basedOn w:val="TableNormal"/>
    <w:uiPriority w:val="48"/>
    <w:rsid w:val="002c2286"/>
    <w:pPr>
      <w:spacing w:after="0"/>
    </w:pPr>
    <w:tblPr>
      <w:tblStyleRowBandSize w:val="1"/>
      <w:tblStyleColBandSize w:val="1"/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color="C0504D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1Horz">
      <w:tblPr/>
      <w:tcPr>
        <w:tcBorders>
          <w:top w:val="single" w:color="C0504D" w:themeColor="accent2" w:sz="4" w:space="0"/>
          <w:bottom w:val="single" w:color="C0504D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C0504D" w:themeColor="accent2" w:sz="4" w:space="0"/>
          <w:left w:val="nil"/>
        </w:tcBorders>
      </w:tcPr>
    </w:tblStylePr>
    <w:tblStylePr w:type="swCell">
      <w:tblPr/>
      <w:tcPr>
        <w:tcBorders>
          <w:top w:val="double" w:color="C0504D" w:themeColor="accent2" w:sz="4" w:space="0"/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LibreOffice/26.2.5.2$MacOSX_X86_64 LibreOffice_project/cd7284b4cbbfeb507e630c1aac019f4157393acb</Application>
  <AppVersion>15.0000</AppVersion>
  <Pages>14</Pages>
  <Words>6129</Words>
  <Characters>34936</Characters>
  <CharactersWithSpaces>40984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2026-10-22T18:23:47Z</dcterms:created>
  <dc:creator>Richard N. Jones; Jennifer J. Manly; Douglas Tommet; Lindsay Kobayashi; Lindsay H. Ryan; Ryan J. McCammon; Steven G. Heeringa; David Weir; Kenneth M. Langa</dc:creator>
  <dc:description/>
  <dc:language>en-US</dc:language>
  <cp:lastModifiedBy/>
  <dcterms:modified xsi:type="dcterms:W3CDTF">2026-10-22T18:23:47Z</dcterms:modified>
  <cp:revision>0</cp:revision>
  <dc:subject/>
  <dc:title>Two HRS Core cognitive classification methods informed by HRS/HCAP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2026-10-22</vt:lpwstr>
  </property>
  <property fmtid="{D5CDD505-2E9C-101B-9397-08002B2CF9AE}" pid="8" name="editor">
    <vt:lpwstr>source</vt:lpwstr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