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Two HRS Core cognitive classification methods informed by HRS/HCAP: Figures, tables, and appendices</w:t>
      </w:r>
    </w:p>
    <w:p>
      <w:pPr>
        <w:pStyle w:val="Author"/>
        <w:rPr/>
      </w:pPr>
      <w:r>
        <w:rPr/>
        <w:t>Richard N. Jones</w:t>
      </w:r>
    </w:p>
    <w:p>
      <w:pPr>
        <w:pStyle w:val="Author"/>
        <w:rPr/>
      </w:pPr>
      <w:r>
        <w:rPr/>
        <w:t>Jennifer J. Manly</w:t>
      </w:r>
    </w:p>
    <w:p>
      <w:pPr>
        <w:pStyle w:val="Author"/>
        <w:rPr/>
      </w:pPr>
      <w:r>
        <w:rPr/>
        <w:t>Douglas Tommet</w:t>
      </w:r>
    </w:p>
    <w:p>
      <w:pPr>
        <w:pStyle w:val="Author"/>
        <w:rPr/>
      </w:pPr>
      <w:r>
        <w:rPr/>
        <w:t>Lindsay Kobayashi</w:t>
      </w:r>
    </w:p>
    <w:p>
      <w:pPr>
        <w:pStyle w:val="Author"/>
        <w:rPr/>
      </w:pPr>
      <w:r>
        <w:rPr/>
        <w:t>Lindsay H. Ryan</w:t>
      </w:r>
    </w:p>
    <w:p>
      <w:pPr>
        <w:pStyle w:val="Author"/>
        <w:rPr/>
      </w:pPr>
      <w:r>
        <w:rPr/>
        <w:t>Ryan J. McCammon</w:t>
      </w:r>
    </w:p>
    <w:p>
      <w:pPr>
        <w:pStyle w:val="Author"/>
        <w:rPr/>
      </w:pPr>
      <w:r>
        <w:rPr/>
        <w:t>Steven G. Heeringa</w:t>
      </w:r>
    </w:p>
    <w:p>
      <w:pPr>
        <w:pStyle w:val="Author"/>
        <w:rPr/>
      </w:pPr>
      <w:r>
        <w:rPr/>
        <w:t>David Weir</w:t>
      </w:r>
    </w:p>
    <w:p>
      <w:pPr>
        <w:pStyle w:val="Author"/>
        <w:rPr/>
      </w:pPr>
      <w:r>
        <w:rPr/>
        <w:t>Kenneth M. Langa</w:t>
      </w:r>
    </w:p>
    <w:p>
      <w:pPr>
        <w:pStyle w:val="Date"/>
        <w:rPr/>
      </w:pPr>
      <w:r>
        <w:rPr/>
        <w:t>2026-10-22</w:t>
      </w:r>
    </w:p>
    <w:p>
      <w:pPr>
        <w:pStyle w:val="Normal"/>
        <w:rPr/>
      </w:pPr>
      <w:r>
        <w:rPr/>
      </w:r>
      <w:r>
        <w:br w:type="page"/>
      </w:r>
    </w:p>
    <w:tbl>
      <w:tblPr>
        <w:tblW w:w="8022" w:type="dxa"/>
        <w:jc w:val="center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noHBand="0" w:lastColumn="0" w:firstColumn="0" w:lastRow="0" w:firstRow="1" w:noVBand="1" w:val="0420"/>
      </w:tblPr>
      <w:tblGrid>
        <w:gridCol w:w="4737"/>
        <w:gridCol w:w="3285"/>
      </w:tblGrid>
      <w:tr>
        <w:trPr>
          <w:tblHeader w:val="true"/>
          <w:trHeight w:val="638" w:hRule="atLeast"/>
        </w:trPr>
        <w:tc>
          <w:tcPr>
            <w:tcW w:w="8022" w:type="dxa"/>
            <w:gridSpan w:val="2"/>
            <w:tcBorders>
              <w:top w:val="single" w:sz="12" w:space="0" w:color="666666"/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ageBreakBefore/>
              <w:pBdr/>
              <w:spacing w:lineRule="auto" w:line="240" w:before="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Table 1. Participant Characteristics</w:t>
            </w:r>
          </w:p>
        </w:tc>
      </w:tr>
      <w:tr>
        <w:trPr>
          <w:tblHeader w:val="true"/>
          <w:trHeight w:val="902" w:hRule="atLeast"/>
        </w:trPr>
        <w:tc>
          <w:tcPr>
            <w:tcW w:w="4737" w:type="dxa"/>
            <w:tcBorders>
              <w:top w:val="single" w:sz="12" w:space="0" w:color="666666"/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Characteristic</w:t>
            </w:r>
          </w:p>
        </w:tc>
        <w:tc>
          <w:tcPr>
            <w:tcW w:w="3285" w:type="dxa"/>
            <w:tcBorders>
              <w:top w:val="single" w:sz="12" w:space="0" w:color="666666"/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HRS/HCAP 2016 participants</w:t>
              <w:br/>
              <w:t>(N = 3,496)</w:t>
            </w:r>
          </w:p>
        </w:tc>
      </w:tr>
      <w:tr>
        <w:trPr>
          <w:trHeight w:val="608" w:hRule="atLeast"/>
        </w:trPr>
        <w:tc>
          <w:tcPr>
            <w:tcW w:w="4737" w:type="dxa"/>
            <w:tcBorders>
              <w:top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Sex (N (%))</w:t>
            </w:r>
          </w:p>
        </w:tc>
        <w:tc>
          <w:tcPr>
            <w:tcW w:w="3285" w:type="dxa"/>
            <w:tcBorders>
              <w:top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r>
          </w:p>
        </w:tc>
      </w:tr>
      <w:tr>
        <w:trPr>
          <w:trHeight w:val="608" w:hRule="atLeast"/>
        </w:trPr>
        <w:tc>
          <w:tcPr>
            <w:tcW w:w="473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 xml:space="preserve">   </w:t>
            </w: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Female</w:t>
            </w:r>
          </w:p>
        </w:tc>
        <w:tc>
          <w:tcPr>
            <w:tcW w:w="328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2,095 (59.9%)</w:t>
            </w:r>
          </w:p>
        </w:tc>
      </w:tr>
      <w:tr>
        <w:trPr>
          <w:trHeight w:val="608" w:hRule="atLeast"/>
        </w:trPr>
        <w:tc>
          <w:tcPr>
            <w:tcW w:w="473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 xml:space="preserve">   </w:t>
            </w: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Male</w:t>
            </w:r>
          </w:p>
        </w:tc>
        <w:tc>
          <w:tcPr>
            <w:tcW w:w="328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1,401 (40.1%)</w:t>
            </w:r>
          </w:p>
        </w:tc>
      </w:tr>
      <w:tr>
        <w:trPr>
          <w:trHeight w:val="608" w:hRule="atLeast"/>
        </w:trPr>
        <w:tc>
          <w:tcPr>
            <w:tcW w:w="473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Age in years (Mean (SD))</w:t>
            </w:r>
          </w:p>
        </w:tc>
        <w:tc>
          <w:tcPr>
            <w:tcW w:w="328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76.0 (7.6)</w:t>
            </w:r>
          </w:p>
        </w:tc>
      </w:tr>
      <w:tr>
        <w:trPr>
          <w:trHeight w:val="608" w:hRule="atLeast"/>
        </w:trPr>
        <w:tc>
          <w:tcPr>
            <w:tcW w:w="473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Race (N (%))</w:t>
            </w:r>
          </w:p>
        </w:tc>
        <w:tc>
          <w:tcPr>
            <w:tcW w:w="328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r>
          </w:p>
        </w:tc>
      </w:tr>
      <w:tr>
        <w:trPr>
          <w:trHeight w:val="608" w:hRule="atLeast"/>
        </w:trPr>
        <w:tc>
          <w:tcPr>
            <w:tcW w:w="473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 xml:space="preserve">   </w:t>
            </w: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White</w:t>
            </w:r>
          </w:p>
        </w:tc>
        <w:tc>
          <w:tcPr>
            <w:tcW w:w="328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2,755 (78.8%)</w:t>
            </w:r>
          </w:p>
        </w:tc>
      </w:tr>
      <w:tr>
        <w:trPr>
          <w:trHeight w:val="608" w:hRule="atLeast"/>
        </w:trPr>
        <w:tc>
          <w:tcPr>
            <w:tcW w:w="473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 xml:space="preserve">   </w:t>
            </w: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Black</w:t>
            </w:r>
          </w:p>
        </w:tc>
        <w:tc>
          <w:tcPr>
            <w:tcW w:w="328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 xml:space="preserve">  </w:t>
            </w: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563 (16.1%)</w:t>
            </w:r>
          </w:p>
        </w:tc>
      </w:tr>
      <w:tr>
        <w:trPr>
          <w:trHeight w:val="608" w:hRule="atLeast"/>
        </w:trPr>
        <w:tc>
          <w:tcPr>
            <w:tcW w:w="473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 xml:space="preserve">   </w:t>
            </w: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All other groups</w:t>
            </w:r>
          </w:p>
        </w:tc>
        <w:tc>
          <w:tcPr>
            <w:tcW w:w="328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 xml:space="preserve">  </w:t>
            </w: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177 (5.1%)</w:t>
            </w:r>
          </w:p>
        </w:tc>
      </w:tr>
      <w:tr>
        <w:trPr>
          <w:trHeight w:val="608" w:hRule="atLeast"/>
        </w:trPr>
        <w:tc>
          <w:tcPr>
            <w:tcW w:w="473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 xml:space="preserve">   </w:t>
            </w: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Not collected</w:t>
            </w:r>
          </w:p>
        </w:tc>
        <w:tc>
          <w:tcPr>
            <w:tcW w:w="328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 xml:space="preserve">    </w:t>
            </w: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1 (0.0%)</w:t>
            </w:r>
          </w:p>
        </w:tc>
      </w:tr>
      <w:tr>
        <w:trPr>
          <w:trHeight w:val="608" w:hRule="atLeast"/>
        </w:trPr>
        <w:tc>
          <w:tcPr>
            <w:tcW w:w="473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Hispanic origin (N (%))</w:t>
            </w:r>
          </w:p>
        </w:tc>
        <w:tc>
          <w:tcPr>
            <w:tcW w:w="328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r>
          </w:p>
        </w:tc>
      </w:tr>
      <w:tr>
        <w:trPr>
          <w:trHeight w:val="608" w:hRule="atLeast"/>
        </w:trPr>
        <w:tc>
          <w:tcPr>
            <w:tcW w:w="473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 xml:space="preserve">   </w:t>
            </w: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Not Hispanic</w:t>
            </w:r>
          </w:p>
        </w:tc>
        <w:tc>
          <w:tcPr>
            <w:tcW w:w="328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3,111 (89.0%)</w:t>
            </w:r>
          </w:p>
        </w:tc>
      </w:tr>
      <w:tr>
        <w:trPr>
          <w:trHeight w:val="608" w:hRule="atLeast"/>
        </w:trPr>
        <w:tc>
          <w:tcPr>
            <w:tcW w:w="473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 xml:space="preserve">   </w:t>
            </w: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Hispanic</w:t>
            </w:r>
          </w:p>
        </w:tc>
        <w:tc>
          <w:tcPr>
            <w:tcW w:w="328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 xml:space="preserve">  </w:t>
            </w: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383 (11.0%)</w:t>
            </w:r>
          </w:p>
        </w:tc>
      </w:tr>
      <w:tr>
        <w:trPr>
          <w:trHeight w:val="608" w:hRule="atLeast"/>
        </w:trPr>
        <w:tc>
          <w:tcPr>
            <w:tcW w:w="473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 xml:space="preserve">   </w:t>
            </w: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Not obtained</w:t>
            </w:r>
          </w:p>
        </w:tc>
        <w:tc>
          <w:tcPr>
            <w:tcW w:w="328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 xml:space="preserve">    </w:t>
            </w: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2 (0.1%)</w:t>
            </w:r>
          </w:p>
        </w:tc>
      </w:tr>
      <w:tr>
        <w:trPr>
          <w:trHeight w:val="608" w:hRule="atLeast"/>
        </w:trPr>
        <w:tc>
          <w:tcPr>
            <w:tcW w:w="473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Years of education (Mean (SD))</w:t>
            </w:r>
          </w:p>
        </w:tc>
        <w:tc>
          <w:tcPr>
            <w:tcW w:w="328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12.7 (3.2)</w:t>
            </w:r>
          </w:p>
        </w:tc>
      </w:tr>
      <w:tr>
        <w:trPr>
          <w:trHeight w:val="608" w:hRule="atLeast"/>
        </w:trPr>
        <w:tc>
          <w:tcPr>
            <w:tcW w:w="473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HRS/HCAP Classification (N (%))</w:t>
            </w:r>
          </w:p>
        </w:tc>
        <w:tc>
          <w:tcPr>
            <w:tcW w:w="328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r>
          </w:p>
        </w:tc>
      </w:tr>
      <w:tr>
        <w:trPr>
          <w:trHeight w:val="608" w:hRule="atLeast"/>
        </w:trPr>
        <w:tc>
          <w:tcPr>
            <w:tcW w:w="473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 xml:space="preserve">   </w:t>
            </w: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Normal</w:t>
            </w:r>
          </w:p>
        </w:tc>
        <w:tc>
          <w:tcPr>
            <w:tcW w:w="328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2,313 (66.2%)</w:t>
            </w:r>
          </w:p>
        </w:tc>
      </w:tr>
      <w:tr>
        <w:trPr>
          <w:trHeight w:val="608" w:hRule="atLeast"/>
        </w:trPr>
        <w:tc>
          <w:tcPr>
            <w:tcW w:w="473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 xml:space="preserve">   </w:t>
            </w: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Mild cognitive impairment</w:t>
            </w:r>
          </w:p>
        </w:tc>
        <w:tc>
          <w:tcPr>
            <w:tcW w:w="328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 xml:space="preserve">  </w:t>
            </w: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808 (23.1%)</w:t>
            </w:r>
          </w:p>
        </w:tc>
      </w:tr>
      <w:tr>
        <w:trPr>
          <w:trHeight w:val="608" w:hRule="atLeast"/>
        </w:trPr>
        <w:tc>
          <w:tcPr>
            <w:tcW w:w="473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 xml:space="preserve">   </w:t>
            </w: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Dementia</w:t>
            </w:r>
          </w:p>
        </w:tc>
        <w:tc>
          <w:tcPr>
            <w:tcW w:w="328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 xml:space="preserve">  </w:t>
            </w: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375 (10.7%)</w:t>
            </w:r>
          </w:p>
        </w:tc>
      </w:tr>
      <w:tr>
        <w:trPr>
          <w:trHeight w:val="608" w:hRule="atLeast"/>
        </w:trPr>
        <w:tc>
          <w:tcPr>
            <w:tcW w:w="473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Langa-Weir Classification (N (%))</w:t>
            </w:r>
          </w:p>
        </w:tc>
        <w:tc>
          <w:tcPr>
            <w:tcW w:w="328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r>
          </w:p>
        </w:tc>
      </w:tr>
      <w:tr>
        <w:trPr>
          <w:trHeight w:val="608" w:hRule="atLeast"/>
        </w:trPr>
        <w:tc>
          <w:tcPr>
            <w:tcW w:w="473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 xml:space="preserve">   </w:t>
            </w: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Normal</w:t>
            </w:r>
          </w:p>
        </w:tc>
        <w:tc>
          <w:tcPr>
            <w:tcW w:w="328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2,432 (69.6%)</w:t>
            </w:r>
          </w:p>
        </w:tc>
      </w:tr>
      <w:tr>
        <w:trPr>
          <w:trHeight w:val="608" w:hRule="atLeast"/>
        </w:trPr>
        <w:tc>
          <w:tcPr>
            <w:tcW w:w="473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 xml:space="preserve">   </w:t>
            </w: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Cognitively impaired, not demented</w:t>
            </w:r>
          </w:p>
        </w:tc>
        <w:tc>
          <w:tcPr>
            <w:tcW w:w="328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 xml:space="preserve">  </w:t>
            </w: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731 (20.9%)</w:t>
            </w:r>
          </w:p>
        </w:tc>
      </w:tr>
      <w:tr>
        <w:trPr>
          <w:trHeight w:val="608" w:hRule="atLeast"/>
        </w:trPr>
        <w:tc>
          <w:tcPr>
            <w:tcW w:w="473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 xml:space="preserve">   </w:t>
            </w: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Dementia</w:t>
            </w:r>
          </w:p>
        </w:tc>
        <w:tc>
          <w:tcPr>
            <w:tcW w:w="328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 xml:space="preserve">  </w:t>
            </w: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333 (9.5%)</w:t>
            </w:r>
          </w:p>
        </w:tc>
      </w:tr>
      <w:tr>
        <w:trPr>
          <w:trHeight w:val="608" w:hRule="atLeast"/>
        </w:trPr>
        <w:tc>
          <w:tcPr>
            <w:tcW w:w="473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Jorm IQCODE score from Core (Mean (SD))</w:t>
            </w:r>
          </w:p>
        </w:tc>
        <w:tc>
          <w:tcPr>
            <w:tcW w:w="328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3.8 (0.8)</w:t>
            </w:r>
          </w:p>
        </w:tc>
      </w:tr>
      <w:tr>
        <w:trPr>
          <w:trHeight w:val="623" w:hRule="atLeast"/>
        </w:trPr>
        <w:tc>
          <w:tcPr>
            <w:tcW w:w="4737" w:type="dxa"/>
            <w:tcBorders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Jorm IQCODE score from Core (missing)</w:t>
            </w:r>
          </w:p>
        </w:tc>
        <w:tc>
          <w:tcPr>
            <w:tcW w:w="3285" w:type="dxa"/>
            <w:tcBorders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3,283</w:t>
            </w:r>
          </w:p>
        </w:tc>
      </w:tr>
      <w:tr>
        <w:trPr>
          <w:trHeight w:val="360" w:hRule="atLeast"/>
        </w:trPr>
        <w:tc>
          <w:tcPr>
            <w:tcW w:w="8022" w:type="dxa"/>
            <w:gridSpan w:val="2"/>
            <w:tcBorders>
              <w:top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Source: R/MS_MAIN/MS_001_analysis_cohort.R; R_objects/A7_005_hrs16_merged.rds.</w:t>
            </w:r>
          </w:p>
        </w:tc>
      </w:tr>
      <w:tr>
        <w:trPr>
          <w:trHeight w:val="360" w:hRule="atLeast"/>
        </w:trPr>
        <w:tc>
          <w:tcPr>
            <w:tcW w:w="8022" w:type="dxa"/>
            <w:gridSpan w:val="2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Jorm IQCODE was collected in the HRS Core interview, not HCAP, and only from participants who did not complete Core cognitive testing.</w:t>
            </w:r>
          </w:p>
        </w:tc>
      </w:tr>
    </w:tbl>
    <w:p>
      <w:pPr>
        <w:pStyle w:val="FootnoteText"/>
        <w:rPr/>
      </w:pPr>
      <w:r>
        <w:rPr/>
        <w:t>Notes: The study sample includes all 3,496 HRS/HCAP 2016 participants, including participants without Core cognitive testing who were classified from informant (Jorm IQCODE) data. Race and ethnicity data were gathered via self-report at the time of first interview and are considered to be markers of exposure to evolving systems of racism, not as a proxy for genetic variation or any other biological variable. Race was self-selected by participants at the time of the first interview from a list of options defined by the 2000 US Census criteria. Other race includes a pooled group of participants who identified as American Indian or Alaska Native, Asian, Native Hawaiian or Pacific Islander, or another self-described race, consolidated due to small sample sizes and risk of identification.</w:t>
      </w:r>
    </w:p>
    <w:p>
      <w:pPr>
        <w:pStyle w:val="Normal"/>
        <w:rPr/>
      </w:pPr>
      <w:r>
        <w:rPr/>
      </w:r>
      <w:r>
        <w:br w:type="page"/>
      </w:r>
    </w:p>
    <w:tbl>
      <w:tblPr>
        <w:tblW w:w="8640" w:type="dxa"/>
        <w:jc w:val="center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noHBand="0" w:lastColumn="0" w:firstColumn="0" w:lastRow="0" w:firstRow="1" w:noVBand="1" w:val="0420"/>
      </w:tblPr>
      <w:tblGrid>
        <w:gridCol w:w="1944"/>
        <w:gridCol w:w="1116"/>
        <w:gridCol w:w="1115"/>
        <w:gridCol w:w="1117"/>
        <w:gridCol w:w="1116"/>
        <w:gridCol w:w="1115"/>
        <w:gridCol w:w="1117"/>
      </w:tblGrid>
      <w:tr>
        <w:trPr>
          <w:tblHeader w:val="true"/>
          <w:trHeight w:val="360" w:hRule="atLeast"/>
        </w:trPr>
        <w:tc>
          <w:tcPr>
            <w:tcW w:w="8640" w:type="dxa"/>
            <w:gridSpan w:val="7"/>
            <w:tcBorders>
              <w:top w:val="single" w:sz="12" w:space="0" w:color="666666"/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ageBreakBefore/>
              <w:pBdr/>
              <w:spacing w:lineRule="auto" w:line="240" w:before="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Table 2. HCAP classification margins by method</w:t>
            </w:r>
          </w:p>
        </w:tc>
      </w:tr>
      <w:tr>
        <w:trPr>
          <w:tblHeader w:val="true"/>
          <w:trHeight w:val="360" w:hRule="atLeast"/>
        </w:trPr>
        <w:tc>
          <w:tcPr>
            <w:tcW w:w="1944" w:type="dxa"/>
            <w:tcBorders>
              <w:top w:val="single" w:sz="12" w:space="0" w:color="666666"/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r>
          </w:p>
        </w:tc>
        <w:tc>
          <w:tcPr>
            <w:tcW w:w="2231" w:type="dxa"/>
            <w:gridSpan w:val="2"/>
            <w:tcBorders>
              <w:top w:val="single" w:sz="12" w:space="0" w:color="666666"/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Normal</w:t>
            </w:r>
          </w:p>
        </w:tc>
        <w:tc>
          <w:tcPr>
            <w:tcW w:w="2233" w:type="dxa"/>
            <w:gridSpan w:val="2"/>
            <w:tcBorders>
              <w:top w:val="single" w:sz="12" w:space="0" w:color="666666"/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MCI</w:t>
            </w:r>
          </w:p>
        </w:tc>
        <w:tc>
          <w:tcPr>
            <w:tcW w:w="2232" w:type="dxa"/>
            <w:gridSpan w:val="2"/>
            <w:tcBorders>
              <w:top w:val="single" w:sz="12" w:space="0" w:color="666666"/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Dementia</w:t>
            </w:r>
          </w:p>
        </w:tc>
      </w:tr>
      <w:tr>
        <w:trPr>
          <w:tblHeader w:val="true"/>
          <w:trHeight w:val="360" w:hRule="atLeast"/>
        </w:trPr>
        <w:tc>
          <w:tcPr>
            <w:tcW w:w="1944" w:type="dxa"/>
            <w:tcBorders>
              <w:top w:val="single" w:sz="12" w:space="0" w:color="666666"/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Method</w:t>
            </w:r>
          </w:p>
        </w:tc>
        <w:tc>
          <w:tcPr>
            <w:tcW w:w="1116" w:type="dxa"/>
            <w:tcBorders>
              <w:top w:val="single" w:sz="12" w:space="0" w:color="666666"/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N</w:t>
            </w:r>
          </w:p>
        </w:tc>
        <w:tc>
          <w:tcPr>
            <w:tcW w:w="1115" w:type="dxa"/>
            <w:tcBorders>
              <w:top w:val="single" w:sz="12" w:space="0" w:color="666666"/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Weighted %</w:t>
            </w:r>
          </w:p>
        </w:tc>
        <w:tc>
          <w:tcPr>
            <w:tcW w:w="1117" w:type="dxa"/>
            <w:tcBorders>
              <w:top w:val="single" w:sz="12" w:space="0" w:color="666666"/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N</w:t>
            </w:r>
          </w:p>
        </w:tc>
        <w:tc>
          <w:tcPr>
            <w:tcW w:w="1116" w:type="dxa"/>
            <w:tcBorders>
              <w:top w:val="single" w:sz="12" w:space="0" w:color="666666"/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Weighted %</w:t>
            </w:r>
          </w:p>
        </w:tc>
        <w:tc>
          <w:tcPr>
            <w:tcW w:w="1115" w:type="dxa"/>
            <w:tcBorders>
              <w:top w:val="single" w:sz="12" w:space="0" w:color="666666"/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N</w:t>
            </w:r>
          </w:p>
        </w:tc>
        <w:tc>
          <w:tcPr>
            <w:tcW w:w="1117" w:type="dxa"/>
            <w:tcBorders>
              <w:top w:val="single" w:sz="12" w:space="0" w:color="666666"/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Weighted %</w:t>
            </w:r>
          </w:p>
        </w:tc>
      </w:tr>
      <w:tr>
        <w:trPr>
          <w:trHeight w:val="360" w:hRule="atLeast"/>
        </w:trPr>
        <w:tc>
          <w:tcPr>
            <w:tcW w:w="1944" w:type="dxa"/>
            <w:tcBorders>
              <w:top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Manly-Jones algorithm</w:t>
            </w:r>
          </w:p>
        </w:tc>
        <w:tc>
          <w:tcPr>
            <w:tcW w:w="1116" w:type="dxa"/>
            <w:tcBorders>
              <w:top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2,313</w:t>
            </w:r>
          </w:p>
        </w:tc>
        <w:tc>
          <w:tcPr>
            <w:tcW w:w="1115" w:type="dxa"/>
            <w:tcBorders>
              <w:top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69.4%</w:t>
            </w:r>
          </w:p>
        </w:tc>
        <w:tc>
          <w:tcPr>
            <w:tcW w:w="1117" w:type="dxa"/>
            <w:tcBorders>
              <w:top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808</w:t>
            </w:r>
          </w:p>
        </w:tc>
        <w:tc>
          <w:tcPr>
            <w:tcW w:w="1116" w:type="dxa"/>
            <w:tcBorders>
              <w:top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21.4%</w:t>
            </w:r>
          </w:p>
        </w:tc>
        <w:tc>
          <w:tcPr>
            <w:tcW w:w="1115" w:type="dxa"/>
            <w:tcBorders>
              <w:top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375</w:t>
            </w:r>
          </w:p>
        </w:tc>
        <w:tc>
          <w:tcPr>
            <w:tcW w:w="1117" w:type="dxa"/>
            <w:tcBorders>
              <w:top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9.2%</w:t>
            </w:r>
          </w:p>
        </w:tc>
      </w:tr>
      <w:tr>
        <w:trPr>
          <w:trHeight w:val="360" w:hRule="atLeast"/>
        </w:trPr>
        <w:tc>
          <w:tcPr>
            <w:tcW w:w="1944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Core algorithm</w:t>
            </w:r>
          </w:p>
        </w:tc>
        <w:tc>
          <w:tcPr>
            <w:tcW w:w="1116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2,358</w:t>
            </w:r>
          </w:p>
        </w:tc>
        <w:tc>
          <w:tcPr>
            <w:tcW w:w="111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68.9%</w:t>
            </w:r>
          </w:p>
        </w:tc>
        <w:tc>
          <w:tcPr>
            <w:tcW w:w="111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794</w:t>
            </w:r>
          </w:p>
        </w:tc>
        <w:tc>
          <w:tcPr>
            <w:tcW w:w="1116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22.0%</w:t>
            </w:r>
          </w:p>
        </w:tc>
        <w:tc>
          <w:tcPr>
            <w:tcW w:w="111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344</w:t>
            </w:r>
          </w:p>
        </w:tc>
        <w:tc>
          <w:tcPr>
            <w:tcW w:w="111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9.1%</w:t>
            </w:r>
          </w:p>
        </w:tc>
      </w:tr>
      <w:tr>
        <w:trPr>
          <w:trHeight w:val="360" w:hRule="atLeast"/>
        </w:trPr>
        <w:tc>
          <w:tcPr>
            <w:tcW w:w="1944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PMM</w:t>
            </w:r>
          </w:p>
        </w:tc>
        <w:tc>
          <w:tcPr>
            <w:tcW w:w="1116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2,934</w:t>
            </w:r>
          </w:p>
        </w:tc>
        <w:tc>
          <w:tcPr>
            <w:tcW w:w="111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85.5%</w:t>
            </w:r>
          </w:p>
        </w:tc>
        <w:tc>
          <w:tcPr>
            <w:tcW w:w="111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330</w:t>
            </w:r>
          </w:p>
        </w:tc>
        <w:tc>
          <w:tcPr>
            <w:tcW w:w="1116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8.6%</w:t>
            </w:r>
          </w:p>
        </w:tc>
        <w:tc>
          <w:tcPr>
            <w:tcW w:w="111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232</w:t>
            </w:r>
          </w:p>
        </w:tc>
        <w:tc>
          <w:tcPr>
            <w:tcW w:w="111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5.8%</w:t>
            </w:r>
          </w:p>
        </w:tc>
      </w:tr>
      <w:tr>
        <w:trPr>
          <w:trHeight w:val="360" w:hRule="atLeast"/>
        </w:trPr>
        <w:tc>
          <w:tcPr>
            <w:tcW w:w="8640" w:type="dxa"/>
            <w:gridSpan w:val="7"/>
            <w:tcBorders/>
            <w:shd w:color="auto" w:fill="E6E6E6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Secondary comparators</w:t>
            </w:r>
          </w:p>
        </w:tc>
      </w:tr>
      <w:tr>
        <w:trPr>
          <w:trHeight w:val="360" w:hRule="atLeast"/>
        </w:trPr>
        <w:tc>
          <w:tcPr>
            <w:tcW w:w="1944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Langa-Weir</w:t>
            </w:r>
          </w:p>
        </w:tc>
        <w:tc>
          <w:tcPr>
            <w:tcW w:w="1116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2,432</w:t>
            </w:r>
          </w:p>
        </w:tc>
        <w:tc>
          <w:tcPr>
            <w:tcW w:w="111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74.9%</w:t>
            </w:r>
          </w:p>
        </w:tc>
        <w:tc>
          <w:tcPr>
            <w:tcW w:w="111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731</w:t>
            </w:r>
          </w:p>
        </w:tc>
        <w:tc>
          <w:tcPr>
            <w:tcW w:w="1116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17.3%</w:t>
            </w:r>
          </w:p>
        </w:tc>
        <w:tc>
          <w:tcPr>
            <w:tcW w:w="111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333</w:t>
            </w:r>
          </w:p>
        </w:tc>
        <w:tc>
          <w:tcPr>
            <w:tcW w:w="111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7.9%</w:t>
            </w:r>
          </w:p>
        </w:tc>
      </w:tr>
      <w:tr>
        <w:trPr>
          <w:trHeight w:val="360" w:hRule="atLeast"/>
        </w:trPr>
        <w:tc>
          <w:tcPr>
            <w:tcW w:w="1944" w:type="dxa"/>
            <w:tcBorders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Hudomiet</w:t>
            </w:r>
          </w:p>
        </w:tc>
        <w:tc>
          <w:tcPr>
            <w:tcW w:w="1116" w:type="dxa"/>
            <w:tcBorders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2,326</w:t>
            </w:r>
          </w:p>
        </w:tc>
        <w:tc>
          <w:tcPr>
            <w:tcW w:w="1115" w:type="dxa"/>
            <w:tcBorders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71.1%</w:t>
            </w:r>
          </w:p>
        </w:tc>
        <w:tc>
          <w:tcPr>
            <w:tcW w:w="1117" w:type="dxa"/>
            <w:tcBorders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865</w:t>
            </w:r>
          </w:p>
        </w:tc>
        <w:tc>
          <w:tcPr>
            <w:tcW w:w="1116" w:type="dxa"/>
            <w:tcBorders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21.0%</w:t>
            </w:r>
          </w:p>
        </w:tc>
        <w:tc>
          <w:tcPr>
            <w:tcW w:w="1115" w:type="dxa"/>
            <w:tcBorders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286</w:t>
            </w:r>
          </w:p>
        </w:tc>
        <w:tc>
          <w:tcPr>
            <w:tcW w:w="1117" w:type="dxa"/>
            <w:tcBorders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7.2%</w:t>
            </w:r>
          </w:p>
        </w:tc>
      </w:tr>
      <w:tr>
        <w:trPr>
          <w:trHeight w:val="360" w:hRule="atLeast"/>
        </w:trPr>
        <w:tc>
          <w:tcPr>
            <w:tcW w:w="8640" w:type="dxa"/>
            <w:gridSpan w:val="7"/>
            <w:tcBorders>
              <w:top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Note. N values are unweighted HRS/HCAP participant counts. Percentages use HCAP16WGTR; PMM counts and percentages use the most likely class from the combined cognition and informant models (non-replicated).</w:t>
            </w:r>
          </w:p>
        </w:tc>
      </w:tr>
      <w:tr>
        <w:trPr>
          <w:trHeight w:val="360" w:hRule="atLeast"/>
        </w:trPr>
        <w:tc>
          <w:tcPr>
            <w:tcW w:w="8640" w:type="dxa"/>
            <w:gridSpan w:val="7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References. Manly, J. J., Jones, R. N., Langa, K. M., Ryan, L. H., Levine, D. A., McCammon, R., Heeringa, S. G., &amp; Weir, D. (2022). Estimating the prevalence of dementia and mild cognitive impairment in the US: The 2016 Health and Retirement Study Harmonized Cognitive Assessment Protocol Project. JAMA Neurology, 79(12), 1242-1249. https://doi.org/10.1001/jamaneurol.2022.3543</w:t>
            </w:r>
          </w:p>
        </w:tc>
      </w:tr>
      <w:tr>
        <w:trPr>
          <w:trHeight w:val="360" w:hRule="atLeast"/>
        </w:trPr>
        <w:tc>
          <w:tcPr>
            <w:tcW w:w="8640" w:type="dxa"/>
            <w:gridSpan w:val="7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Langa, K. M., Weir, D. R., Kabeto, M., &amp; Sonnega, A. (2023). Langa-Weir Classification of Cognitive Function (1995-2020). https://hrsdata.isr.umich.edu/sites/default/files/documentation/data-descriptions/1695907706/Data_Description_Langa_Weir_Classifications2020_V2.pdf</w:t>
            </w:r>
          </w:p>
        </w:tc>
      </w:tr>
      <w:tr>
        <w:trPr>
          <w:trHeight w:val="360" w:hRule="atLeast"/>
        </w:trPr>
        <w:tc>
          <w:tcPr>
            <w:tcW w:w="8640" w:type="dxa"/>
            <w:gridSpan w:val="7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Hudomiet, P., Hurd, M. D., &amp; Rohwedder, S. (2022). Trends in inequalities in the prevalence of dementia in the United States. Proceedings of the National Academy of Sciences, 119(46), e2212205119. https://doi.org/10.1073/pnas.2212205119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tbl>
      <w:tblPr>
        <w:tblW w:w="9948" w:type="dxa"/>
        <w:jc w:val="center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noHBand="0" w:lastColumn="0" w:firstColumn="0" w:lastRow="0" w:firstRow="1" w:noVBand="1" w:val="0420"/>
      </w:tblPr>
      <w:tblGrid>
        <w:gridCol w:w="1700"/>
        <w:gridCol w:w="2019"/>
        <w:gridCol w:w="3115"/>
        <w:gridCol w:w="3114"/>
      </w:tblGrid>
      <w:tr>
        <w:trPr>
          <w:tblHeader w:val="true"/>
          <w:trHeight w:val="566" w:hRule="atLeast"/>
        </w:trPr>
        <w:tc>
          <w:tcPr>
            <w:tcW w:w="9948" w:type="dxa"/>
            <w:gridSpan w:val="4"/>
            <w:tcBorders>
              <w:top w:val="single" w:sz="12" w:space="0" w:color="666666"/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ageBreakBefore/>
              <w:pBdr/>
              <w:spacing w:lineRule="auto" w:line="240" w:before="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Table 3. Agreement among Core classifications and comparison diagnoses</w:t>
            </w:r>
          </w:p>
        </w:tc>
      </w:tr>
      <w:tr>
        <w:trPr>
          <w:tblHeader w:val="true"/>
          <w:trHeight w:val="566" w:hRule="atLeast"/>
        </w:trPr>
        <w:tc>
          <w:tcPr>
            <w:tcW w:w="1700" w:type="dxa"/>
            <w:tcBorders>
              <w:top w:val="single" w:sz="12" w:space="0" w:color="666666"/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Classification 1</w:t>
            </w:r>
          </w:p>
        </w:tc>
        <w:tc>
          <w:tcPr>
            <w:tcW w:w="2019" w:type="dxa"/>
            <w:tcBorders>
              <w:top w:val="single" w:sz="12" w:space="0" w:color="666666"/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Classification 2</w:t>
            </w:r>
          </w:p>
        </w:tc>
        <w:tc>
          <w:tcPr>
            <w:tcW w:w="3115" w:type="dxa"/>
            <w:tcBorders>
              <w:top w:val="single" w:sz="12" w:space="0" w:color="666666"/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Three-class quadratic weighted kappa</w:t>
            </w:r>
          </w:p>
        </w:tc>
        <w:tc>
          <w:tcPr>
            <w:tcW w:w="3114" w:type="dxa"/>
            <w:tcBorders>
              <w:top w:val="single" w:sz="12" w:space="0" w:color="666666"/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Dementia versus non-dementia kappa</w:t>
            </w:r>
          </w:p>
        </w:tc>
      </w:tr>
      <w:tr>
        <w:trPr>
          <w:trHeight w:val="536" w:hRule="atLeast"/>
        </w:trPr>
        <w:tc>
          <w:tcPr>
            <w:tcW w:w="1700" w:type="dxa"/>
            <w:tcBorders>
              <w:top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Core algorithm</w:t>
            </w:r>
          </w:p>
        </w:tc>
        <w:tc>
          <w:tcPr>
            <w:tcW w:w="2019" w:type="dxa"/>
            <w:tcBorders>
              <w:top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Manly-Jones algorithm</w:t>
            </w:r>
          </w:p>
        </w:tc>
        <w:tc>
          <w:tcPr>
            <w:tcW w:w="3115" w:type="dxa"/>
            <w:tcBorders>
              <w:top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0.501</w:t>
            </w:r>
          </w:p>
        </w:tc>
        <w:tc>
          <w:tcPr>
            <w:tcW w:w="3114" w:type="dxa"/>
            <w:tcBorders>
              <w:top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0.337</w:t>
            </w:r>
          </w:p>
        </w:tc>
      </w:tr>
      <w:tr>
        <w:trPr>
          <w:trHeight w:val="536" w:hRule="atLeast"/>
        </w:trPr>
        <w:tc>
          <w:tcPr>
            <w:tcW w:w="1700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PMM</w:t>
            </w:r>
          </w:p>
        </w:tc>
        <w:tc>
          <w:tcPr>
            <w:tcW w:w="2019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Manly-Jones algorithm</w:t>
            </w:r>
          </w:p>
        </w:tc>
        <w:tc>
          <w:tcPr>
            <w:tcW w:w="311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0.370</w:t>
            </w:r>
          </w:p>
        </w:tc>
        <w:tc>
          <w:tcPr>
            <w:tcW w:w="3114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0.302</w:t>
            </w:r>
          </w:p>
        </w:tc>
      </w:tr>
      <w:tr>
        <w:trPr>
          <w:trHeight w:val="536" w:hRule="atLeast"/>
        </w:trPr>
        <w:tc>
          <w:tcPr>
            <w:tcW w:w="1700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Langa-Weir</w:t>
            </w:r>
          </w:p>
        </w:tc>
        <w:tc>
          <w:tcPr>
            <w:tcW w:w="2019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Manly-Jones algorithm</w:t>
            </w:r>
          </w:p>
        </w:tc>
        <w:tc>
          <w:tcPr>
            <w:tcW w:w="311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0.510</w:t>
            </w:r>
          </w:p>
        </w:tc>
        <w:tc>
          <w:tcPr>
            <w:tcW w:w="3114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0.407</w:t>
            </w:r>
          </w:p>
        </w:tc>
      </w:tr>
      <w:tr>
        <w:trPr>
          <w:trHeight w:val="536" w:hRule="atLeast"/>
        </w:trPr>
        <w:tc>
          <w:tcPr>
            <w:tcW w:w="1700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Hudomiet</w:t>
            </w:r>
          </w:p>
        </w:tc>
        <w:tc>
          <w:tcPr>
            <w:tcW w:w="2019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Manly-Jones algorithm</w:t>
            </w:r>
          </w:p>
        </w:tc>
        <w:tc>
          <w:tcPr>
            <w:tcW w:w="311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0.551</w:t>
            </w:r>
          </w:p>
        </w:tc>
        <w:tc>
          <w:tcPr>
            <w:tcW w:w="3114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0.457</w:t>
            </w:r>
          </w:p>
        </w:tc>
      </w:tr>
      <w:tr>
        <w:trPr>
          <w:trHeight w:val="536" w:hRule="atLeast"/>
        </w:trPr>
        <w:tc>
          <w:tcPr>
            <w:tcW w:w="1700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HCAP Consensus</w:t>
            </w:r>
          </w:p>
        </w:tc>
        <w:tc>
          <w:tcPr>
            <w:tcW w:w="2019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Manly-Jones algorithm</w:t>
            </w:r>
          </w:p>
        </w:tc>
        <w:tc>
          <w:tcPr>
            <w:tcW w:w="311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0.728</w:t>
            </w:r>
          </w:p>
        </w:tc>
        <w:tc>
          <w:tcPr>
            <w:tcW w:w="3114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0.536</w:t>
            </w:r>
          </w:p>
        </w:tc>
      </w:tr>
      <w:tr>
        <w:trPr>
          <w:trHeight w:val="536" w:hRule="atLeast"/>
        </w:trPr>
        <w:tc>
          <w:tcPr>
            <w:tcW w:w="1700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r>
          </w:p>
        </w:tc>
        <w:tc>
          <w:tcPr>
            <w:tcW w:w="2019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r>
          </w:p>
        </w:tc>
        <w:tc>
          <w:tcPr>
            <w:tcW w:w="311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r>
          </w:p>
        </w:tc>
        <w:tc>
          <w:tcPr>
            <w:tcW w:w="3114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r>
          </w:p>
        </w:tc>
      </w:tr>
      <w:tr>
        <w:trPr>
          <w:trHeight w:val="536" w:hRule="atLeast"/>
        </w:trPr>
        <w:tc>
          <w:tcPr>
            <w:tcW w:w="1700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Core algorithm</w:t>
            </w:r>
          </w:p>
        </w:tc>
        <w:tc>
          <w:tcPr>
            <w:tcW w:w="2019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Langa-Weir</w:t>
            </w:r>
          </w:p>
        </w:tc>
        <w:tc>
          <w:tcPr>
            <w:tcW w:w="311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0.558</w:t>
            </w:r>
          </w:p>
        </w:tc>
        <w:tc>
          <w:tcPr>
            <w:tcW w:w="3114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0.406</w:t>
            </w:r>
          </w:p>
        </w:tc>
      </w:tr>
      <w:tr>
        <w:trPr>
          <w:trHeight w:val="536" w:hRule="atLeast"/>
        </w:trPr>
        <w:tc>
          <w:tcPr>
            <w:tcW w:w="1700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PMM</w:t>
            </w:r>
          </w:p>
        </w:tc>
        <w:tc>
          <w:tcPr>
            <w:tcW w:w="2019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Langa-Weir</w:t>
            </w:r>
          </w:p>
        </w:tc>
        <w:tc>
          <w:tcPr>
            <w:tcW w:w="311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0.425</w:t>
            </w:r>
          </w:p>
        </w:tc>
        <w:tc>
          <w:tcPr>
            <w:tcW w:w="3114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0.348</w:t>
            </w:r>
          </w:p>
        </w:tc>
      </w:tr>
      <w:tr>
        <w:trPr>
          <w:trHeight w:val="536" w:hRule="atLeast"/>
        </w:trPr>
        <w:tc>
          <w:tcPr>
            <w:tcW w:w="1700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Hudomiet</w:t>
            </w:r>
          </w:p>
        </w:tc>
        <w:tc>
          <w:tcPr>
            <w:tcW w:w="2019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Langa-Weir</w:t>
            </w:r>
          </w:p>
        </w:tc>
        <w:tc>
          <w:tcPr>
            <w:tcW w:w="311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0.717</w:t>
            </w:r>
          </w:p>
        </w:tc>
        <w:tc>
          <w:tcPr>
            <w:tcW w:w="3114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0.670</w:t>
            </w:r>
          </w:p>
        </w:tc>
      </w:tr>
      <w:tr>
        <w:trPr>
          <w:trHeight w:val="536" w:hRule="atLeast"/>
        </w:trPr>
        <w:tc>
          <w:tcPr>
            <w:tcW w:w="1700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HCAP Consensus</w:t>
            </w:r>
          </w:p>
        </w:tc>
        <w:tc>
          <w:tcPr>
            <w:tcW w:w="2019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Langa-Weir</w:t>
            </w:r>
          </w:p>
        </w:tc>
        <w:tc>
          <w:tcPr>
            <w:tcW w:w="311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0.099</w:t>
            </w:r>
          </w:p>
        </w:tc>
        <w:tc>
          <w:tcPr>
            <w:tcW w:w="3114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0.736</w:t>
            </w:r>
          </w:p>
        </w:tc>
      </w:tr>
      <w:tr>
        <w:trPr>
          <w:trHeight w:val="536" w:hRule="atLeast"/>
        </w:trPr>
        <w:tc>
          <w:tcPr>
            <w:tcW w:w="1700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r>
          </w:p>
        </w:tc>
        <w:tc>
          <w:tcPr>
            <w:tcW w:w="2019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r>
          </w:p>
        </w:tc>
        <w:tc>
          <w:tcPr>
            <w:tcW w:w="311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r>
          </w:p>
        </w:tc>
        <w:tc>
          <w:tcPr>
            <w:tcW w:w="3114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r>
          </w:p>
        </w:tc>
      </w:tr>
      <w:tr>
        <w:trPr>
          <w:trHeight w:val="536" w:hRule="atLeast"/>
        </w:trPr>
        <w:tc>
          <w:tcPr>
            <w:tcW w:w="1700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Core algorithm</w:t>
            </w:r>
          </w:p>
        </w:tc>
        <w:tc>
          <w:tcPr>
            <w:tcW w:w="2019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Hudomiet</w:t>
            </w:r>
          </w:p>
        </w:tc>
        <w:tc>
          <w:tcPr>
            <w:tcW w:w="311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0.601</w:t>
            </w:r>
          </w:p>
        </w:tc>
        <w:tc>
          <w:tcPr>
            <w:tcW w:w="3114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0.442</w:t>
            </w:r>
          </w:p>
        </w:tc>
      </w:tr>
      <w:tr>
        <w:trPr>
          <w:trHeight w:val="536" w:hRule="atLeast"/>
        </w:trPr>
        <w:tc>
          <w:tcPr>
            <w:tcW w:w="1700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PMM</w:t>
            </w:r>
          </w:p>
        </w:tc>
        <w:tc>
          <w:tcPr>
            <w:tcW w:w="2019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Hudomiet</w:t>
            </w:r>
          </w:p>
        </w:tc>
        <w:tc>
          <w:tcPr>
            <w:tcW w:w="311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0.441</w:t>
            </w:r>
          </w:p>
        </w:tc>
        <w:tc>
          <w:tcPr>
            <w:tcW w:w="3114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0.351</w:t>
            </w:r>
          </w:p>
        </w:tc>
      </w:tr>
      <w:tr>
        <w:trPr>
          <w:trHeight w:val="536" w:hRule="atLeast"/>
        </w:trPr>
        <w:tc>
          <w:tcPr>
            <w:tcW w:w="1700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HCAP Consensus</w:t>
            </w:r>
          </w:p>
        </w:tc>
        <w:tc>
          <w:tcPr>
            <w:tcW w:w="2019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Hudomiet</w:t>
            </w:r>
          </w:p>
        </w:tc>
        <w:tc>
          <w:tcPr>
            <w:tcW w:w="311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0.396</w:t>
            </w:r>
          </w:p>
        </w:tc>
        <w:tc>
          <w:tcPr>
            <w:tcW w:w="3114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0.806</w:t>
            </w:r>
          </w:p>
        </w:tc>
      </w:tr>
      <w:tr>
        <w:trPr>
          <w:trHeight w:val="536" w:hRule="atLeast"/>
        </w:trPr>
        <w:tc>
          <w:tcPr>
            <w:tcW w:w="1700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r>
          </w:p>
        </w:tc>
        <w:tc>
          <w:tcPr>
            <w:tcW w:w="2019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r>
          </w:p>
        </w:tc>
        <w:tc>
          <w:tcPr>
            <w:tcW w:w="311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r>
          </w:p>
        </w:tc>
        <w:tc>
          <w:tcPr>
            <w:tcW w:w="3114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r>
          </w:p>
        </w:tc>
      </w:tr>
      <w:tr>
        <w:trPr>
          <w:trHeight w:val="536" w:hRule="atLeast"/>
        </w:trPr>
        <w:tc>
          <w:tcPr>
            <w:tcW w:w="1700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Core algorithm</w:t>
            </w:r>
          </w:p>
        </w:tc>
        <w:tc>
          <w:tcPr>
            <w:tcW w:w="2019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HCAP Consensus</w:t>
            </w:r>
          </w:p>
        </w:tc>
        <w:tc>
          <w:tcPr>
            <w:tcW w:w="311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0.081</w:t>
            </w:r>
          </w:p>
        </w:tc>
        <w:tc>
          <w:tcPr>
            <w:tcW w:w="3114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0.153</w:t>
            </w:r>
          </w:p>
        </w:tc>
      </w:tr>
      <w:tr>
        <w:trPr>
          <w:trHeight w:val="551" w:hRule="atLeast"/>
        </w:trPr>
        <w:tc>
          <w:tcPr>
            <w:tcW w:w="1700" w:type="dxa"/>
            <w:tcBorders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PMM</w:t>
            </w:r>
          </w:p>
        </w:tc>
        <w:tc>
          <w:tcPr>
            <w:tcW w:w="2019" w:type="dxa"/>
            <w:tcBorders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HCAP Consensus</w:t>
            </w:r>
          </w:p>
        </w:tc>
        <w:tc>
          <w:tcPr>
            <w:tcW w:w="3115" w:type="dxa"/>
            <w:tcBorders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0.138</w:t>
            </w:r>
          </w:p>
        </w:tc>
        <w:tc>
          <w:tcPr>
            <w:tcW w:w="3114" w:type="dxa"/>
            <w:tcBorders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0.249</w:t>
            </w:r>
          </w:p>
        </w:tc>
      </w:tr>
      <w:tr>
        <w:trPr>
          <w:trHeight w:val="360" w:hRule="atLeast"/>
        </w:trPr>
        <w:tc>
          <w:tcPr>
            <w:tcW w:w="9948" w:type="dxa"/>
            <w:gridSpan w:val="4"/>
            <w:tcBorders>
              <w:top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Source: A7 rows: R_objects/A7_100_hcap_tables.rds, generated by R/A7_100-comparison_of_diagnoses.R. PMM rows: R/PMM_110_Comparison_of_Consensus_Langa_Weir.R; PMM-Hudomiet was calculated from the same saved probabilities and A7 comparison data. Three-class values are quadratic weighted kappas; binary values are kappas for dementia versus non-dementia. Consensus comparisons use normalized HCAP16WGTR / samplingP weights; other comparisons use HCAP16WGTR.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tbl>
      <w:tblPr>
        <w:tblW w:w="9765" w:type="dxa"/>
        <w:jc w:val="center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noHBand="0" w:lastColumn="0" w:firstColumn="0" w:lastRow="0" w:firstRow="1" w:noVBand="1" w:val="0420"/>
      </w:tblPr>
      <w:tblGrid>
        <w:gridCol w:w="2020"/>
        <w:gridCol w:w="1931"/>
        <w:gridCol w:w="2021"/>
        <w:gridCol w:w="1238"/>
        <w:gridCol w:w="1460"/>
        <w:gridCol w:w="1095"/>
      </w:tblGrid>
      <w:tr>
        <w:trPr>
          <w:tblHeader w:val="true"/>
          <w:trHeight w:val="566" w:hRule="atLeast"/>
        </w:trPr>
        <w:tc>
          <w:tcPr>
            <w:tcW w:w="9765" w:type="dxa"/>
            <w:gridSpan w:val="6"/>
            <w:tcBorders>
              <w:top w:val="single" w:sz="12" w:space="0" w:color="666666"/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ageBreakBefore/>
              <w:pBdr/>
              <w:spacing w:lineRule="auto" w:line="240" w:before="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Table 4. Pairwise three-class agreement among HCAP comparison methods</w:t>
            </w:r>
          </w:p>
        </w:tc>
      </w:tr>
      <w:tr>
        <w:trPr>
          <w:tblHeader w:val="true"/>
          <w:trHeight w:val="566" w:hRule="atLeast"/>
        </w:trPr>
        <w:tc>
          <w:tcPr>
            <w:tcW w:w="2020" w:type="dxa"/>
            <w:tcBorders>
              <w:top w:val="single" w:sz="12" w:space="0" w:color="666666"/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method</w:t>
            </w:r>
          </w:p>
        </w:tc>
        <w:tc>
          <w:tcPr>
            <w:tcW w:w="1931" w:type="dxa"/>
            <w:tcBorders>
              <w:top w:val="single" w:sz="12" w:space="0" w:color="666666"/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Consensus diagnosis</w:t>
            </w:r>
          </w:p>
        </w:tc>
        <w:tc>
          <w:tcPr>
            <w:tcW w:w="2021" w:type="dxa"/>
            <w:tcBorders>
              <w:top w:val="single" w:sz="12" w:space="0" w:color="666666"/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Manly-Jones algorithm</w:t>
            </w:r>
          </w:p>
        </w:tc>
        <w:tc>
          <w:tcPr>
            <w:tcW w:w="1238" w:type="dxa"/>
            <w:tcBorders>
              <w:top w:val="single" w:sz="12" w:space="0" w:color="666666"/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Langa-Weir</w:t>
            </w:r>
          </w:p>
        </w:tc>
        <w:tc>
          <w:tcPr>
            <w:tcW w:w="1460" w:type="dxa"/>
            <w:tcBorders>
              <w:top w:val="single" w:sz="12" w:space="0" w:color="666666"/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Core algorithm</w:t>
            </w:r>
          </w:p>
        </w:tc>
        <w:tc>
          <w:tcPr>
            <w:tcW w:w="1095" w:type="dxa"/>
            <w:tcBorders>
              <w:top w:val="single" w:sz="12" w:space="0" w:color="666666"/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Hudomiet</w:t>
            </w:r>
          </w:p>
        </w:tc>
      </w:tr>
      <w:tr>
        <w:trPr>
          <w:trHeight w:val="536" w:hRule="atLeast"/>
        </w:trPr>
        <w:tc>
          <w:tcPr>
            <w:tcW w:w="2020" w:type="dxa"/>
            <w:tcBorders>
              <w:top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Consensus diagnosis</w:t>
            </w:r>
          </w:p>
        </w:tc>
        <w:tc>
          <w:tcPr>
            <w:tcW w:w="1931" w:type="dxa"/>
            <w:tcBorders>
              <w:top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1.000</w:t>
            </w:r>
          </w:p>
        </w:tc>
        <w:tc>
          <w:tcPr>
            <w:tcW w:w="2021" w:type="dxa"/>
            <w:tcBorders>
              <w:top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0.728</w:t>
            </w:r>
          </w:p>
        </w:tc>
        <w:tc>
          <w:tcPr>
            <w:tcW w:w="1238" w:type="dxa"/>
            <w:tcBorders>
              <w:top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0.099</w:t>
            </w:r>
          </w:p>
        </w:tc>
        <w:tc>
          <w:tcPr>
            <w:tcW w:w="1460" w:type="dxa"/>
            <w:tcBorders>
              <w:top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0.081</w:t>
            </w:r>
          </w:p>
        </w:tc>
        <w:tc>
          <w:tcPr>
            <w:tcW w:w="1095" w:type="dxa"/>
            <w:tcBorders>
              <w:top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0.396</w:t>
            </w:r>
          </w:p>
        </w:tc>
      </w:tr>
      <w:tr>
        <w:trPr>
          <w:trHeight w:val="536" w:hRule="atLeast"/>
        </w:trPr>
        <w:tc>
          <w:tcPr>
            <w:tcW w:w="2020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Manly-Jones algorithm</w:t>
            </w:r>
          </w:p>
        </w:tc>
        <w:tc>
          <w:tcPr>
            <w:tcW w:w="1931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0.728</w:t>
            </w:r>
          </w:p>
        </w:tc>
        <w:tc>
          <w:tcPr>
            <w:tcW w:w="2021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1.000</w:t>
            </w:r>
          </w:p>
        </w:tc>
        <w:tc>
          <w:tcPr>
            <w:tcW w:w="1238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0.510</w:t>
            </w:r>
          </w:p>
        </w:tc>
        <w:tc>
          <w:tcPr>
            <w:tcW w:w="1460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0.501</w:t>
            </w:r>
          </w:p>
        </w:tc>
        <w:tc>
          <w:tcPr>
            <w:tcW w:w="109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0.551</w:t>
            </w:r>
          </w:p>
        </w:tc>
      </w:tr>
      <w:tr>
        <w:trPr>
          <w:trHeight w:val="536" w:hRule="atLeast"/>
        </w:trPr>
        <w:tc>
          <w:tcPr>
            <w:tcW w:w="2020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Langa-Weir</w:t>
            </w:r>
          </w:p>
        </w:tc>
        <w:tc>
          <w:tcPr>
            <w:tcW w:w="1931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0.099</w:t>
            </w:r>
          </w:p>
        </w:tc>
        <w:tc>
          <w:tcPr>
            <w:tcW w:w="2021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0.510</w:t>
            </w:r>
          </w:p>
        </w:tc>
        <w:tc>
          <w:tcPr>
            <w:tcW w:w="1238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1.000</w:t>
            </w:r>
          </w:p>
        </w:tc>
        <w:tc>
          <w:tcPr>
            <w:tcW w:w="1460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0.558</w:t>
            </w:r>
          </w:p>
        </w:tc>
        <w:tc>
          <w:tcPr>
            <w:tcW w:w="109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0.717</w:t>
            </w:r>
          </w:p>
        </w:tc>
      </w:tr>
      <w:tr>
        <w:trPr>
          <w:trHeight w:val="536" w:hRule="atLeast"/>
        </w:trPr>
        <w:tc>
          <w:tcPr>
            <w:tcW w:w="2020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Core algorithm</w:t>
            </w:r>
          </w:p>
        </w:tc>
        <w:tc>
          <w:tcPr>
            <w:tcW w:w="1931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0.081</w:t>
            </w:r>
          </w:p>
        </w:tc>
        <w:tc>
          <w:tcPr>
            <w:tcW w:w="2021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0.501</w:t>
            </w:r>
          </w:p>
        </w:tc>
        <w:tc>
          <w:tcPr>
            <w:tcW w:w="1238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0.558</w:t>
            </w:r>
          </w:p>
        </w:tc>
        <w:tc>
          <w:tcPr>
            <w:tcW w:w="1460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1.000</w:t>
            </w:r>
          </w:p>
        </w:tc>
        <w:tc>
          <w:tcPr>
            <w:tcW w:w="109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0.601</w:t>
            </w:r>
          </w:p>
        </w:tc>
      </w:tr>
      <w:tr>
        <w:trPr>
          <w:trHeight w:val="551" w:hRule="atLeast"/>
        </w:trPr>
        <w:tc>
          <w:tcPr>
            <w:tcW w:w="2020" w:type="dxa"/>
            <w:tcBorders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Hudomiet</w:t>
            </w:r>
          </w:p>
        </w:tc>
        <w:tc>
          <w:tcPr>
            <w:tcW w:w="1931" w:type="dxa"/>
            <w:tcBorders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0.396</w:t>
            </w:r>
          </w:p>
        </w:tc>
        <w:tc>
          <w:tcPr>
            <w:tcW w:w="2021" w:type="dxa"/>
            <w:tcBorders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0.551</w:t>
            </w:r>
          </w:p>
        </w:tc>
        <w:tc>
          <w:tcPr>
            <w:tcW w:w="1238" w:type="dxa"/>
            <w:tcBorders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0.717</w:t>
            </w:r>
          </w:p>
        </w:tc>
        <w:tc>
          <w:tcPr>
            <w:tcW w:w="1460" w:type="dxa"/>
            <w:tcBorders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0.601</w:t>
            </w:r>
          </w:p>
        </w:tc>
        <w:tc>
          <w:tcPr>
            <w:tcW w:w="1095" w:type="dxa"/>
            <w:tcBorders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1.000</w:t>
            </w:r>
          </w:p>
        </w:tc>
      </w:tr>
      <w:tr>
        <w:trPr>
          <w:trHeight w:val="360" w:hRule="atLeast"/>
        </w:trPr>
        <w:tc>
          <w:tcPr>
            <w:tcW w:w="9765" w:type="dxa"/>
            <w:gridSpan w:val="6"/>
            <w:tcBorders>
              <w:top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Source: Source: R_objects/A7_100_hcap_tables.rds, generated by R/A7_100-comparison_of_diagnoses.R. Entries are quadratic weighted kappas. Consensus comparisons use normalized HCAP16WGTR / samplingP weights; other comparisons use HCAP16WGTR.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lastColumn="0" w:firstColumn="0" w:lastRow="0" w:firstRow="0" w:noVBand="0" w:val="000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pageBreakBefore/>
              <w:widowControl/>
              <w:spacing w:before="0" w:after="36"/>
              <w:jc w:val="center"/>
              <w:rPr>
                <w:rFonts w:eastAsia="Cambria" w:cs=""/>
                <w:kern w:val="0"/>
                <w:szCs w:val="24"/>
                <w:lang w:val="en-US" w:eastAsia="en-US" w:bidi="ar-SA"/>
              </w:rPr>
            </w:pPr>
            <w:bookmarkStart w:id="0" w:name="fig-core-algorithm"/>
            <w:r>
              <w:rPr>
                <w:rFonts w:eastAsia="Cambria" w:cs=""/>
                <w:kern w:val="0"/>
                <w:szCs w:val="24"/>
                <w:lang w:val="en-US" w:eastAsia="en-US" w:bidi="ar-SA"/>
              </w:rPr>
              <w:drawing>
                <wp:inline distT="0" distB="0" distL="0" distR="0">
                  <wp:extent cx="5930900" cy="5882005"/>
                  <wp:effectExtent l="0" t="0" r="0" b="0"/>
                  <wp:docPr id="1" name="Pic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30900" cy="588200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220"/>
              <w:jc w:val="left"/>
              <w:rPr>
                <w:rFonts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Cs w:val="24"/>
                <w:lang w:val="en-US" w:eastAsia="en-US" w:bidi="ar-SA"/>
              </w:rPr>
              <w:t>Figure 1: HRS core algorithm decision structure. T: demographically adjusted T score, rounded to an integer; τ</w:t>
            </w:r>
            <w:r>
              <w:rPr>
                <w:rFonts w:eastAsia="Cambria" w:cs=""/>
                <w:kern w:val="0"/>
                <w:szCs w:val="24"/>
                <w:vertAlign w:val="subscript"/>
                <w:lang w:val="en-US" w:eastAsia="en-US" w:bidi="ar-SA"/>
              </w:rPr>
              <w:t>1</w:t>
            </w:r>
            <w:r>
              <w:rPr>
                <w:rFonts w:eastAsia="Cambria" w:cs=""/>
                <w:kern w:val="0"/>
                <w:szCs w:val="24"/>
                <w:lang w:val="en-US" w:eastAsia="en-US" w:bidi="ar-SA"/>
              </w:rPr>
              <w:t xml:space="preserve"> = 39 and τ</w:t>
            </w:r>
            <w:r>
              <w:rPr>
                <w:rFonts w:eastAsia="Cambria" w:cs=""/>
                <w:kern w:val="0"/>
                <w:szCs w:val="24"/>
                <w:vertAlign w:val="subscript"/>
                <w:lang w:val="en-US" w:eastAsia="en-US" w:bidi="ar-SA"/>
              </w:rPr>
              <w:t>2</w:t>
            </w:r>
            <w:r>
              <w:rPr>
                <w:rFonts w:eastAsia="Cambria" w:cs=""/>
                <w:kern w:val="0"/>
                <w:szCs w:val="24"/>
                <w:lang w:val="en-US" w:eastAsia="en-US" w:bidi="ar-SA"/>
              </w:rPr>
              <w:t xml:space="preserve"> = 48: severe and moderate T-score cut points. IQCODE: Informant Questionnaire on Cognitive Decline in the Elderly (cut points 3.0 and 3.4). Self-rated concerns is a rating of memory worse than 2 years ago, and the “yes” arm includes don’t know, refused, and not ascertained. Participant counts by branch are in Appendix 1.</w:t>
            </w:r>
            <w:bookmarkEnd w:id="0"/>
          </w:p>
        </w:tc>
      </w:tr>
    </w:tbl>
    <w:p>
      <w:pPr>
        <w:pStyle w:val="Normal"/>
        <w:rPr/>
      </w:pPr>
      <w:r>
        <w:rPr/>
      </w:r>
      <w:r>
        <w:br w:type="page"/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lastColumn="0" w:firstColumn="0" w:lastRow="0" w:firstRow="0" w:noVBand="0" w:val="000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pageBreakBefore/>
              <w:widowControl/>
              <w:spacing w:before="0" w:after="36"/>
              <w:jc w:val="center"/>
              <w:rPr>
                <w:rFonts w:eastAsia="Cambria" w:cs=""/>
                <w:kern w:val="0"/>
                <w:szCs w:val="24"/>
                <w:lang w:val="en-US" w:eastAsia="en-US" w:bidi="ar-SA"/>
              </w:rPr>
            </w:pPr>
            <w:bookmarkStart w:id="1" w:name="fig-pmm-class-probabilities"/>
            <w:r>
              <w:rPr>
                <w:rFonts w:eastAsia="Cambria" w:cs=""/>
                <w:kern w:val="0"/>
                <w:szCs w:val="24"/>
                <w:lang w:val="en-US" w:eastAsia="en-US" w:bidi="ar-SA"/>
              </w:rPr>
              <w:drawing>
                <wp:inline distT="0" distB="0" distL="0" distR="0">
                  <wp:extent cx="5930900" cy="2668905"/>
                  <wp:effectExtent l="0" t="0" r="0" b="0"/>
                  <wp:docPr id="2" name="Imag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30900" cy="266890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220"/>
              <w:jc w:val="left"/>
              <w:rPr>
                <w:rFonts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Cs w:val="24"/>
                <w:lang w:val="en-US" w:eastAsia="en-US" w:bidi="ar-SA"/>
              </w:rPr>
              <w:t>Figure 2: PMM class probabilities in HRS/HCAP</w:t>
            </w:r>
            <w:bookmarkEnd w:id="1"/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BodyText"/>
        <w:spacing w:before="0" w:after="180"/>
        <w:rPr/>
      </w:pPr>
      <w:r>
        <w:rPr/>
        <w:t>Thanks for reading.</w:t>
      </w:r>
    </w:p>
    <w:sectPr>
      <w:footerReference w:type="even" r:id="rId4"/>
      <w:footerReference w:type="default" r:id="rId5"/>
      <w:footerReference w:type="first" r:id="rId6"/>
      <w:type w:val="nextPage"/>
      <w:pgSz w:w="12240" w:h="15840"/>
      <w:pgMar w:left="1440" w:right="1440" w:gutter="0" w:header="0" w:top="1440" w:footer="72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Arial">
    <w:charset w:val="01"/>
    <w:family w:val="swiss"/>
    <w:pitch w:val="variable"/>
  </w:font>
  <w:font w:name="Calibri">
    <w:charset w:val="01"/>
    <w:family w:val="swiss"/>
    <w:pitch w:val="variable"/>
  </w:font>
  <w:font w:name="Consolas">
    <w:charset w:val="01"/>
    <w:family w:val="swiss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right="360"/>
      <w:rPr/>
    </w:pPr>
    <w:r>
      <w:rPr/>
    </w:r>
    <w:r>
      <mc:AlternateContent>
        <mc:Choice Requires="wps">
          <w:drawing>
            <wp:anchor distT="0" distB="0" distL="0" distR="0" simplePos="0" relativeHeight="0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14605" cy="14605"/>
              <wp:effectExtent l="0" t="0" r="0" b="0"/>
              <wp:wrapNone/>
              <wp:docPr id="3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605" cy="1460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sdt>
                          <w:sdtPr>
                            <w:id w:val="-4142820"/>
                            <w:docPartObj>
                              <w:docPartGallery w:val="Page Numbers (Bottom of Page)"/>
                              <w:docPartUnique w:val="true"/>
                            </w:docPartObj>
                          </w:sdtPr>
                          <w:sdtContent>
                            <w:p>
                              <w:pPr>
                                <w:pStyle w:val="Footer"/>
                                <w:pBdr/>
                                <w:rPr>
                                  <w:rStyle w:val="PageNumber"/>
                                </w:rPr>
                              </w:pPr>
                              <w:r>
                                <w:rPr>
                                  <w:rStyle w:val="PageNumber"/>
                                </w:rPr>
                                <w:fldChar w:fldCharType="begin"/>
                              </w:r>
                              <w:r>
                                <w:rPr>
                                  <w:rStyle w:val="PageNumber"/>
                                </w:rPr>
                                <w:instrText xml:space="preserve"> PAGE </w:instrText>
                              </w:r>
                              <w:r>
                                <w:rPr>
                                  <w:rStyle w:val="PageNumber"/>
                                </w:rPr>
                                <w:fldChar w:fldCharType="separate"/>
                              </w:r>
                              <w:r>
                                <w:rPr>
                                  <w:rStyle w:val="PageNumber"/>
                                </w:rPr>
                                <w:t>0</w:t>
                              </w:r>
                              <w:r>
                                <w:rPr>
                                  <w:rStyle w:val="PageNumber"/>
                                </w:rPr>
                                <w:fldChar w:fldCharType="end"/>
                              </w:r>
                            </w:p>
                          </w:sdtContent>
                        </w:sdt>
                      </w:txbxContent>
                    </wps:txbx>
                    <wps:bodyPr anchor="t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.15pt;height:1.15pt;mso-wrap-distance-left:0pt;mso-wrap-distance-right:0pt;mso-wrap-distance-top:0pt;mso-wrap-distance-bottom:0pt;margin-top:0.05pt;mso-position-vertical-relative:text;margin-left:0pt;mso-position-horizontal:right;mso-position-horizontal-relative:margin">
              <v:fill opacity="0f"/>
              <v:textbox inset="0in,0in,0in,0in">
                <w:txbxContent>
                  <w:sdt>
                    <w:sdtPr>
                      <w:id w:val="-4142820"/>
                      <w:docPartObj>
                        <w:docPartGallery w:val="Page Numbers (Bottom of Page)"/>
                        <w:docPartUnique w:val="true"/>
                      </w:docPartObj>
                    </w:sdtPr>
                    <w:sdtContent>
                      <w:p>
                        <w:pPr>
                          <w:pStyle w:val="Footer"/>
                          <w:pBdr/>
                          <w:rPr>
                            <w:rStyle w:val="PageNumber"/>
                          </w:rPr>
                        </w:pPr>
                        <w:r>
                          <w:rPr>
                            <w:rStyle w:val="PageNumber"/>
                          </w:rPr>
                          <w:fldChar w:fldCharType="begin"/>
                        </w:r>
                        <w:r>
                          <w:rPr>
                            <w:rStyle w:val="PageNumber"/>
                          </w:rPr>
                          <w:instrText xml:space="preserve"> PAGE </w:instrText>
                        </w:r>
                        <w:r>
                          <w:rPr>
                            <w:rStyle w:val="PageNumber"/>
                          </w:rPr>
                          <w:fldChar w:fldCharType="separate"/>
                        </w:r>
                        <w:r>
                          <w:rPr>
                            <w:rStyle w:val="PageNumber"/>
                          </w:rPr>
                          <w:t>0</w:t>
                        </w:r>
                        <w:r>
                          <w:rPr>
                            <w:rStyle w:val="PageNumber"/>
                          </w:rPr>
                          <w:fldChar w:fldCharType="end"/>
                        </w:r>
                      </w:p>
                    </w:sdtContent>
                  </w:sdt>
                </w:txbxContent>
              </v:textbox>
              <w10:wrap type="non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right="360"/>
      <w:rPr/>
    </w:pPr>
    <w:r>
      <w:rPr/>
      <w:fldChar w:fldCharType="begin"/>
    </w:r>
    <w:r>
      <w:rPr/>
      <w:instrText xml:space="preserve"> DATE \@"yyyy\-MM\-dd" </w:instrText>
    </w:r>
    <w:r>
      <w:rPr/>
      <w:fldChar w:fldCharType="separate"/>
    </w:r>
    <w:r>
      <w:rPr/>
      <w:t>2026-10-22</w:t>
    </w:r>
    <w:r>
      <w:rPr/>
      <w:fldChar w:fldCharType="end"/>
    </w:r>
    <w:r>
      <mc:AlternateContent>
        <mc:Choice Requires="wps">
          <w:drawing>
            <wp:anchor distT="0" distB="0" distL="0" distR="0" simplePos="0" relativeHeight="12" behindDoc="0" locked="0" layoutInCell="0" allowOverlap="1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56515" cy="116840"/>
              <wp:effectExtent l="0" t="0" r="0" b="0"/>
              <wp:wrapNone/>
              <wp:docPr id="4" name="Frame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6515" cy="11684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sdt>
                          <w:sdtPr>
                            <w:id w:val="142559779"/>
                            <w:docPartObj>
                              <w:docPartGallery w:val="Page Numbers (Bottom of Page)"/>
                              <w:docPartUnique w:val="true"/>
                            </w:docPartObj>
                          </w:sdtPr>
                          <w:sdtContent>
                            <w:p>
                              <w:pPr>
                                <w:pStyle w:val="Footer"/>
                                <w:pBdr/>
                                <w:rPr>
                                  <w:rStyle w:val="PageNumber"/>
                                </w:rPr>
                              </w:pPr>
                              <w:r>
                                <w:rPr>
                                  <w:rStyle w:val="PageNumber"/>
                                </w:rPr>
                                <w:fldChar w:fldCharType="begin"/>
                              </w:r>
                              <w:r>
                                <w:rPr>
                                  <w:rStyle w:val="PageNumber"/>
                                </w:rPr>
                                <w:instrText xml:space="preserve"> PAGE </w:instrText>
                              </w:r>
                              <w:r>
                                <w:rPr>
                                  <w:rStyle w:val="PageNumber"/>
                                </w:rPr>
                                <w:fldChar w:fldCharType="separate"/>
                              </w:r>
                              <w:r>
                                <w:rPr>
                                  <w:rStyle w:val="PageNumber"/>
                                </w:rPr>
                                <w:t>9</w:t>
                              </w:r>
                              <w:r>
                                <w:rPr>
                                  <w:rStyle w:val="PageNumber"/>
                                </w:rPr>
                                <w:fldChar w:fldCharType="end"/>
                              </w:r>
                            </w:p>
                          </w:sdtContent>
                        </w:sdt>
                      </w:txbxContent>
                    </wps:txbx>
                    <wps:bodyPr anchor="t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4.45pt;height:9.2pt;mso-wrap-distance-left:0pt;mso-wrap-distance-right:0pt;mso-wrap-distance-top:0pt;mso-wrap-distance-bottom:0pt;margin-top:0.05pt;mso-position-vertical-relative:text;margin-left:463.55pt;mso-position-horizontal:right;mso-position-horizontal-relative:margin">
              <v:fill opacity="0f"/>
              <v:textbox inset="0in,0in,0in,0in">
                <w:txbxContent>
                  <w:sdt>
                    <w:sdtPr>
                      <w:id w:val="142559779"/>
                      <w:docPartObj>
                        <w:docPartGallery w:val="Page Numbers (Bottom of Page)"/>
                        <w:docPartUnique w:val="true"/>
                      </w:docPartObj>
                    </w:sdtPr>
                    <w:sdtContent>
                      <w:p>
                        <w:pPr>
                          <w:pStyle w:val="Footer"/>
                          <w:pBdr/>
                          <w:rPr>
                            <w:rStyle w:val="PageNumber"/>
                          </w:rPr>
                        </w:pPr>
                        <w:r>
                          <w:rPr>
                            <w:rStyle w:val="PageNumber"/>
                          </w:rPr>
                          <w:fldChar w:fldCharType="begin"/>
                        </w:r>
                        <w:r>
                          <w:rPr>
                            <w:rStyle w:val="PageNumber"/>
                          </w:rPr>
                          <w:instrText xml:space="preserve"> PAGE </w:instrText>
                        </w:r>
                        <w:r>
                          <w:rPr>
                            <w:rStyle w:val="PageNumber"/>
                          </w:rPr>
                          <w:fldChar w:fldCharType="separate"/>
                        </w:r>
                        <w:r>
                          <w:rPr>
                            <w:rStyle w:val="PageNumber"/>
                          </w:rPr>
                          <w:t>9</w:t>
                        </w:r>
                        <w:r>
                          <w:rPr>
                            <w:rStyle w:val="PageNumber"/>
                          </w:rPr>
                          <w:fldChar w:fldCharType="end"/>
                        </w:r>
                      </w:p>
                    </w:sdtContent>
                  </w:sdt>
                </w:txbxContent>
              </v:textbox>
              <w10:wrap type="non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right="360"/>
      <w:rPr/>
    </w:pPr>
    <w:r>
      <w:rPr/>
      <w:fldChar w:fldCharType="begin"/>
    </w:r>
    <w:r>
      <w:rPr/>
      <w:instrText xml:space="preserve"> DATE \@"yyyy\-MM\-dd" </w:instrText>
    </w:r>
    <w:r>
      <w:rPr/>
      <w:fldChar w:fldCharType="separate"/>
    </w:r>
    <w:r>
      <w:rPr/>
      <w:t>2026-10-22</w:t>
    </w:r>
    <w:r>
      <w:rPr/>
      <w:fldChar w:fldCharType="end"/>
    </w:r>
    <w:r>
      <mc:AlternateContent>
        <mc:Choice Requires="wps">
          <w:drawing>
            <wp:anchor distT="0" distB="0" distL="0" distR="0" simplePos="0" relativeHeight="12" behindDoc="0" locked="0" layoutInCell="0" allowOverlap="1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56515" cy="116840"/>
              <wp:effectExtent l="0" t="0" r="0" b="0"/>
              <wp:wrapNone/>
              <wp:docPr id="5" name="Frame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6515" cy="11684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sdt>
                          <w:sdtPr>
                            <w:id w:val="142559779"/>
                            <w:docPartObj>
                              <w:docPartGallery w:val="Page Numbers (Bottom of Page)"/>
                              <w:docPartUnique w:val="true"/>
                            </w:docPartObj>
                          </w:sdtPr>
                          <w:sdtContent>
                            <w:p>
                              <w:pPr>
                                <w:pStyle w:val="Footer"/>
                                <w:pBdr/>
                                <w:rPr>
                                  <w:rStyle w:val="PageNumber"/>
                                </w:rPr>
                              </w:pPr>
                              <w:r>
                                <w:rPr>
                                  <w:rStyle w:val="PageNumber"/>
                                </w:rPr>
                                <w:fldChar w:fldCharType="begin"/>
                              </w:r>
                              <w:r>
                                <w:rPr>
                                  <w:rStyle w:val="PageNumber"/>
                                </w:rPr>
                                <w:instrText xml:space="preserve"> PAGE </w:instrText>
                              </w:r>
                              <w:r>
                                <w:rPr>
                                  <w:rStyle w:val="PageNumber"/>
                                </w:rPr>
                                <w:fldChar w:fldCharType="separate"/>
                              </w:r>
                              <w:r>
                                <w:rPr>
                                  <w:rStyle w:val="PageNumber"/>
                                </w:rPr>
                                <w:t>9</w:t>
                              </w:r>
                              <w:r>
                                <w:rPr>
                                  <w:rStyle w:val="PageNumber"/>
                                </w:rPr>
                                <w:fldChar w:fldCharType="end"/>
                              </w:r>
                            </w:p>
                          </w:sdtContent>
                        </w:sdt>
                      </w:txbxContent>
                    </wps:txbx>
                    <wps:bodyPr anchor="t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4.45pt;height:9.2pt;mso-wrap-distance-left:0pt;mso-wrap-distance-right:0pt;mso-wrap-distance-top:0pt;mso-wrap-distance-bottom:0pt;margin-top:0.05pt;mso-position-vertical-relative:text;margin-left:463.55pt;mso-position-horizontal:right;mso-position-horizontal-relative:margin">
              <v:fill opacity="0f"/>
              <v:textbox inset="0in,0in,0in,0in">
                <w:txbxContent>
                  <w:sdt>
                    <w:sdtPr>
                      <w:id w:val="142559779"/>
                      <w:docPartObj>
                        <w:docPartGallery w:val="Page Numbers (Bottom of Page)"/>
                        <w:docPartUnique w:val="true"/>
                      </w:docPartObj>
                    </w:sdtPr>
                    <w:sdtContent>
                      <w:p>
                        <w:pPr>
                          <w:pStyle w:val="Footer"/>
                          <w:pBdr/>
                          <w:rPr>
                            <w:rStyle w:val="PageNumber"/>
                          </w:rPr>
                        </w:pPr>
                        <w:r>
                          <w:rPr>
                            <w:rStyle w:val="PageNumber"/>
                          </w:rPr>
                          <w:fldChar w:fldCharType="begin"/>
                        </w:r>
                        <w:r>
                          <w:rPr>
                            <w:rStyle w:val="PageNumber"/>
                          </w:rPr>
                          <w:instrText xml:space="preserve"> PAGE </w:instrText>
                        </w:r>
                        <w:r>
                          <w:rPr>
                            <w:rStyle w:val="PageNumber"/>
                          </w:rPr>
                          <w:fldChar w:fldCharType="separate"/>
                        </w:r>
                        <w:r>
                          <w:rPr>
                            <w:rStyle w:val="PageNumber"/>
                          </w:rPr>
                          <w:t>9</w:t>
                        </w:r>
                        <w:r>
                          <w:rPr>
                            <w:rStyle w:val="PageNumber"/>
                          </w:rPr>
                          <w:fldChar w:fldCharType="end"/>
                        </w:r>
                      </w:p>
                    </w:sdtContent>
                  </w:sdt>
                </w:txbxContent>
              </v:textbox>
              <w10:wrap type="none"/>
            </v:rect>
          </w:pict>
        </mc:Fallback>
      </mc:AlternateContent>
    </w:r>
  </w:p>
</w:ftr>
</file>

<file path=word/settings.xml><?xml version="1.0" encoding="utf-8"?>
<w:settings xmlns:w="http://schemas.openxmlformats.org/wordprocessingml/2006/main">
  <w:zoom w:percent="96"/>
  <w:embedSystemFonts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uiPriority="39" w:semiHidden="1" w:unhideWhenUsed="1"/>
    <w:lsdException w:name="toc 3" w:uiPriority="39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99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d81da6"/>
    <w:pPr>
      <w:widowControl/>
      <w:bidi w:val="0"/>
      <w:spacing w:before="0" w:after="0"/>
      <w:jc w:val="left"/>
    </w:pPr>
    <w:rPr>
      <w:rFonts w:ascii="Arial" w:hAnsi="Arial" w:eastAsia="Cambria" w:cs="" w:cstheme="minorBidi" w:eastAsiaTheme="minorHAnsi"/>
      <w:color w:val="auto"/>
      <w:kern w:val="0"/>
      <w:sz w:val="22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rsid w:val="00b00530"/>
    <w:pPr>
      <w:keepNext w:val="true"/>
      <w:keepLines/>
      <w:spacing w:before="220" w:after="0"/>
      <w:outlineLvl w:val="0"/>
    </w:pPr>
    <w:rPr>
      <w:rFonts w:eastAsia="" w:cs="" w:cstheme="majorBidi" w:eastAsiaTheme="majorEastAsia"/>
      <w:b/>
      <w:bCs/>
      <w:color w:themeColor="text1" w:val="000000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rsid w:val="00b85d98"/>
    <w:pPr>
      <w:keepNext w:val="true"/>
      <w:keepLines/>
      <w:spacing w:before="120" w:after="120"/>
      <w:outlineLvl w:val="1"/>
    </w:pPr>
    <w:rPr>
      <w:rFonts w:eastAsia="" w:cs="" w:cstheme="majorBidi" w:eastAsiaTheme="majorEastAsia"/>
      <w:b/>
      <w:bCs/>
      <w:i/>
      <w:color w:themeColor="text1" w:val="000000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rsid w:val="00c80241"/>
    <w:pPr>
      <w:keepNext w:val="true"/>
      <w:keepLines/>
      <w:spacing w:before="220" w:after="0"/>
      <w:outlineLvl w:val="2"/>
    </w:pPr>
    <w:rPr>
      <w:rFonts w:eastAsia="" w:cs="" w:cstheme="majorBidi" w:eastAsiaTheme="majorEastAsia"/>
      <w:bCs/>
      <w:i/>
      <w:color w:themeColor="text1" w:val="000000"/>
      <w:u w:val="single"/>
    </w:rPr>
  </w:style>
  <w:style w:type="paragraph" w:styleId="Heading4">
    <w:name w:val="heading 4"/>
    <w:basedOn w:val="Normal"/>
    <w:next w:val="BodyText"/>
    <w:uiPriority w:val="9"/>
    <w:unhideWhenUsed/>
    <w:qFormat/>
    <w:rsid w:val="00e500c9"/>
    <w:pPr>
      <w:keepNext w:val="true"/>
      <w:keepLines/>
      <w:spacing w:before="220" w:after="0"/>
      <w:outlineLvl w:val="3"/>
    </w:pPr>
    <w:rPr>
      <w:rFonts w:eastAsia="" w:cs="" w:cstheme="majorBidi" w:eastAsiaTheme="majorEastAsia"/>
      <w:bCs/>
      <w:i/>
      <w:color w:themeColor="background1" w:val="FFFFFF"/>
    </w:rPr>
  </w:style>
  <w:style w:type="paragraph" w:styleId="Heading5">
    <w:name w:val="heading 5"/>
    <w:basedOn w:val="Normal"/>
    <w:next w:val="BodyText"/>
    <w:uiPriority w:val="9"/>
    <w:unhideWhenUsed/>
    <w:qFormat/>
    <w:rsid w:val="000d5f49"/>
    <w:pPr>
      <w:keepNext w:val="true"/>
      <w:keepLines/>
      <w:pageBreakBefore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background1" w:val="FFFFFF"/>
      <w:sz w:val="20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aptionChar" w:customStyle="1">
    <w:name w:val="Caption Char"/>
    <w:basedOn w:val="DefaultParagraphFont"/>
    <w:link w:val="Caption"/>
    <w:qFormat/>
    <w:rsid w:val="00a70c7c"/>
    <w:rPr>
      <w:rFonts w:ascii="Arial" w:hAnsi="Arial"/>
      <w:i/>
      <w:sz w:val="22"/>
    </w:rPr>
  </w:style>
  <w:style w:type="character" w:styleId="VerbatimChar" w:customStyle="1">
    <w:name w:val="Verbatim Char"/>
    <w:basedOn w:val="CaptionChar"/>
    <w:link w:val="SourceCode"/>
    <w:qFormat/>
    <w:rsid w:val="00a11931"/>
    <w:rPr>
      <w:rFonts w:ascii="Consolas" w:hAnsi="Consolas"/>
      <w:i w:val="false"/>
      <w:sz w:val="18"/>
      <w:shd w:fill="F8F8F8" w:val="clear"/>
    </w:rPr>
  </w:style>
  <w:style w:type="character" w:styleId="SectionNumber" w:customStyle="1">
    <w:name w:val="Section Number"/>
    <w:basedOn w:val="CaptionChar"/>
    <w:qFormat/>
    <w:rPr>
      <w:rFonts w:ascii="Arial" w:hAnsi="Arial"/>
      <w:i/>
      <w:sz w:val="22"/>
    </w:rPr>
  </w:style>
  <w:style w:type="character" w:styleId="FootnoteCharacters">
    <w:name w:val="Footnote Characters"/>
    <w:basedOn w:val="CaptionChar"/>
    <w:qFormat/>
    <w:rPr>
      <w:rFonts w:ascii="Arial" w:hAnsi="Arial"/>
      <w:i/>
      <w:sz w:val="22"/>
      <w:vertAlign w:val="superscript"/>
    </w:rPr>
  </w:style>
  <w:style w:type="character" w:styleId="FootnoteReference">
    <w:name w:val="footnote reference"/>
    <w:rPr>
      <w:rFonts w:ascii="Arial" w:hAnsi="Arial"/>
      <w:i/>
      <w:sz w:val="22"/>
      <w:vertAlign w:val="superscript"/>
    </w:rPr>
  </w:style>
  <w:style w:type="character" w:styleId="Hyperlink">
    <w:name w:val="Hyperlink"/>
    <w:basedOn w:val="CaptionChar"/>
    <w:uiPriority w:val="99"/>
    <w:rsid w:val="004d740f"/>
    <w:rPr>
      <w:rFonts w:ascii="Arial" w:hAnsi="Arial"/>
      <w:i w:val="false"/>
      <w:color w:themeColor="text2" w:val="1F497D"/>
      <w:sz w:val="22"/>
      <w:u w:val="single"/>
    </w:rPr>
  </w:style>
  <w:style w:type="character" w:styleId="KeywordTok" w:customStyle="1">
    <w:name w:val="KeywordTok"/>
    <w:basedOn w:val="VerbatimChar"/>
    <w:qFormat/>
    <w:rsid w:val="00833e34"/>
    <w:rPr>
      <w:rFonts w:ascii="Consolas" w:hAnsi="Consolas"/>
      <w:b w:val="false"/>
      <w:i w:val="false"/>
      <w:color w:themeColor="text1" w:val="000000"/>
      <w:sz w:val="18"/>
      <w:shd w:fill="F8F8F8" w:val="clear"/>
    </w:rPr>
  </w:style>
  <w:style w:type="character" w:styleId="DataTypeTok" w:customStyle="1">
    <w:name w:val="DataTypeTok"/>
    <w:basedOn w:val="VerbatimChar"/>
    <w:qFormat/>
    <w:rsid w:val="00b00530"/>
    <w:rPr>
      <w:rFonts w:ascii="Consolas" w:hAnsi="Consolas"/>
      <w:i w:val="false"/>
      <w:color w:themeColor="text1" w:val="000000"/>
      <w:sz w:val="18"/>
      <w:shd w:fill="F8F8F8" w:val="clear"/>
    </w:rPr>
  </w:style>
  <w:style w:type="character" w:styleId="DecValTok" w:customStyle="1">
    <w:name w:val="DecValTok"/>
    <w:basedOn w:val="VerbatimChar"/>
    <w:qFormat/>
    <w:rsid w:val="00b1601b"/>
    <w:rPr>
      <w:rFonts w:ascii="Consolas" w:hAnsi="Consolas"/>
      <w:i/>
      <w:color w:themeColor="text1" w:val="000000"/>
      <w:sz w:val="16"/>
      <w:shd w:fill="F8F8F8" w:val="clear"/>
    </w:rPr>
  </w:style>
  <w:style w:type="character" w:styleId="BaseNTok" w:customStyle="1">
    <w:name w:val="BaseNTok"/>
    <w:basedOn w:val="VerbatimChar"/>
    <w:qFormat/>
    <w:rsid w:val="00b00530"/>
    <w:rPr>
      <w:rFonts w:ascii="Consolas" w:hAnsi="Consolas"/>
      <w:i w:val="false"/>
      <w:color w:val="0000CF"/>
      <w:sz w:val="18"/>
      <w:shd w:fill="F8F8F8" w:val="clear"/>
    </w:rPr>
  </w:style>
  <w:style w:type="character" w:styleId="FloatTok" w:customStyle="1">
    <w:name w:val="FloatTok"/>
    <w:basedOn w:val="VerbatimChar"/>
    <w:qFormat/>
    <w:rsid w:val="00b00530"/>
    <w:rPr>
      <w:rFonts w:ascii="Consolas" w:hAnsi="Consolas"/>
      <w:i w:val="false"/>
      <w:color w:val="0000CF"/>
      <w:sz w:val="18"/>
      <w:shd w:fill="F8F8F8" w:val="clear"/>
    </w:rPr>
  </w:style>
  <w:style w:type="character" w:styleId="ConstantTok" w:customStyle="1">
    <w:name w:val="ConstantTok"/>
    <w:basedOn w:val="VerbatimChar"/>
    <w:qFormat/>
    <w:rsid w:val="00b00530"/>
    <w:rPr>
      <w:rFonts w:ascii="Consolas" w:hAnsi="Consolas"/>
      <w:i w:val="false"/>
      <w:color w:val="000000"/>
      <w:sz w:val="18"/>
      <w:shd w:fill="F8F8F8" w:val="clear"/>
    </w:rPr>
  </w:style>
  <w:style w:type="character" w:styleId="CharTok" w:customStyle="1">
    <w:name w:val="CharTok"/>
    <w:basedOn w:val="VerbatimChar"/>
    <w:qFormat/>
    <w:rsid w:val="00b00530"/>
    <w:rPr>
      <w:rFonts w:ascii="Consolas" w:hAnsi="Consolas"/>
      <w:i w:val="false"/>
      <w:color w:val="4E9A06"/>
      <w:sz w:val="18"/>
      <w:shd w:fill="F8F8F8" w:val="clear"/>
    </w:rPr>
  </w:style>
  <w:style w:type="character" w:styleId="SpecialCharTok" w:customStyle="1">
    <w:name w:val="SpecialCharTok"/>
    <w:basedOn w:val="VerbatimChar"/>
    <w:qFormat/>
    <w:rsid w:val="00b00530"/>
    <w:rPr>
      <w:rFonts w:ascii="Consolas" w:hAnsi="Consolas"/>
      <w:i w:val="false"/>
      <w:color w:val="000000"/>
      <w:sz w:val="18"/>
      <w:shd w:fill="F8F8F8" w:val="clear"/>
    </w:rPr>
  </w:style>
  <w:style w:type="character" w:styleId="StringTok" w:customStyle="1">
    <w:name w:val="StringTok"/>
    <w:basedOn w:val="VerbatimChar"/>
    <w:qFormat/>
    <w:rsid w:val="00b00530"/>
    <w:rPr>
      <w:rFonts w:ascii="Consolas" w:hAnsi="Consolas"/>
      <w:i w:val="false"/>
      <w:color w:val="4E9A06"/>
      <w:sz w:val="18"/>
      <w:shd w:fill="F8F8F8" w:val="clear"/>
    </w:rPr>
  </w:style>
  <w:style w:type="character" w:styleId="VerbatimStringTok" w:customStyle="1">
    <w:name w:val="VerbatimStringTok"/>
    <w:basedOn w:val="VerbatimChar"/>
    <w:qFormat/>
    <w:rsid w:val="00b00530"/>
    <w:rPr>
      <w:rFonts w:ascii="Consolas" w:hAnsi="Consolas"/>
      <w:i w:val="false"/>
      <w:color w:val="4E9A06"/>
      <w:sz w:val="18"/>
      <w:shd w:fill="F8F8F8" w:val="clear"/>
    </w:rPr>
  </w:style>
  <w:style w:type="character" w:styleId="SpecialStringTok" w:customStyle="1">
    <w:name w:val="SpecialStringTok"/>
    <w:basedOn w:val="VerbatimChar"/>
    <w:qFormat/>
    <w:rsid w:val="00b00530"/>
    <w:rPr>
      <w:rFonts w:ascii="Consolas" w:hAnsi="Consolas"/>
      <w:i w:val="false"/>
      <w:color w:val="4E9A06"/>
      <w:sz w:val="18"/>
      <w:shd w:fill="F8F8F8" w:val="clear"/>
    </w:rPr>
  </w:style>
  <w:style w:type="character" w:styleId="ImportTok" w:customStyle="1">
    <w:name w:val="ImportTok"/>
    <w:basedOn w:val="VerbatimChar"/>
    <w:qFormat/>
    <w:rsid w:val="00b00530"/>
    <w:rPr>
      <w:rFonts w:ascii="Consolas" w:hAnsi="Consolas"/>
      <w:i w:val="false"/>
      <w:sz w:val="18"/>
      <w:shd w:fill="F8F8F8" w:val="clear"/>
    </w:rPr>
  </w:style>
  <w:style w:type="character" w:styleId="CommentTok" w:customStyle="1">
    <w:name w:val="CommentTok"/>
    <w:basedOn w:val="VerbatimChar"/>
    <w:qFormat/>
    <w:rsid w:val="00b00530"/>
    <w:rPr>
      <w:rFonts w:ascii="Consolas" w:hAnsi="Consolas"/>
      <w:i w:val="false"/>
      <w:color w:themeColor="text1" w:val="000000"/>
      <w:sz w:val="18"/>
      <w:shd w:fill="F8F8F8" w:val="clear"/>
    </w:rPr>
  </w:style>
  <w:style w:type="character" w:styleId="DocumentationTok" w:customStyle="1">
    <w:name w:val="DocumentationTok"/>
    <w:basedOn w:val="VerbatimChar"/>
    <w:qFormat/>
    <w:rsid w:val="00b00530"/>
    <w:rPr>
      <w:rFonts w:ascii="Consolas" w:hAnsi="Consolas"/>
      <w:b/>
      <w:i/>
      <w:color w:val="8F5902"/>
      <w:sz w:val="18"/>
      <w:shd w:fill="F8F8F8" w:val="clear"/>
    </w:rPr>
  </w:style>
  <w:style w:type="character" w:styleId="AnnotationTok" w:customStyle="1">
    <w:name w:val="AnnotationTok"/>
    <w:basedOn w:val="VerbatimChar"/>
    <w:qFormat/>
    <w:rsid w:val="00b00530"/>
    <w:rPr>
      <w:rFonts w:ascii="Consolas" w:hAnsi="Consolas"/>
      <w:b/>
      <w:i/>
      <w:color w:val="8F5902"/>
      <w:sz w:val="18"/>
      <w:shd w:fill="F8F8F8" w:val="clear"/>
    </w:rPr>
  </w:style>
  <w:style w:type="character" w:styleId="CommentVarTok" w:customStyle="1">
    <w:name w:val="CommentVarTok"/>
    <w:basedOn w:val="VerbatimChar"/>
    <w:qFormat/>
    <w:rsid w:val="00b00530"/>
    <w:rPr>
      <w:rFonts w:ascii="Consolas" w:hAnsi="Consolas"/>
      <w:b/>
      <w:i/>
      <w:color w:val="8F5902"/>
      <w:sz w:val="18"/>
      <w:shd w:fill="F8F8F8" w:val="clear"/>
    </w:rPr>
  </w:style>
  <w:style w:type="character" w:styleId="OtherTok" w:customStyle="1">
    <w:name w:val="OtherTok"/>
    <w:basedOn w:val="VerbatimChar"/>
    <w:qFormat/>
    <w:rsid w:val="00b00530"/>
    <w:rPr>
      <w:rFonts w:ascii="Consolas" w:hAnsi="Consolas"/>
      <w:i w:val="false"/>
      <w:color w:themeColor="text1" w:val="000000"/>
      <w:sz w:val="18"/>
      <w:shd w:fill="F8F8F8" w:val="clear"/>
    </w:rPr>
  </w:style>
  <w:style w:type="character" w:styleId="FunctionTok" w:customStyle="1">
    <w:name w:val="FunctionTok"/>
    <w:basedOn w:val="VerbatimChar"/>
    <w:qFormat/>
    <w:rsid w:val="00b00530"/>
    <w:rPr>
      <w:rFonts w:ascii="Consolas" w:hAnsi="Consolas"/>
      <w:i/>
      <w:color w:val="000000"/>
      <w:sz w:val="18"/>
      <w:shd w:fill="F8F8F8" w:val="clear"/>
    </w:rPr>
  </w:style>
  <w:style w:type="character" w:styleId="VariableTok" w:customStyle="1">
    <w:name w:val="VariableTok"/>
    <w:basedOn w:val="VerbatimChar"/>
    <w:qFormat/>
    <w:rsid w:val="00b00530"/>
    <w:rPr>
      <w:rFonts w:ascii="Consolas" w:hAnsi="Consolas"/>
      <w:i w:val="false"/>
      <w:color w:val="000000"/>
      <w:sz w:val="18"/>
      <w:shd w:fill="F8F8F8" w:val="clear"/>
    </w:rPr>
  </w:style>
  <w:style w:type="character" w:styleId="ControlFlowTok" w:customStyle="1">
    <w:name w:val="ControlFlowTok"/>
    <w:basedOn w:val="VerbatimChar"/>
    <w:qFormat/>
    <w:rsid w:val="00b00530"/>
    <w:rPr>
      <w:rFonts w:ascii="Consolas" w:hAnsi="Consolas"/>
      <w:b/>
      <w:i w:val="false"/>
      <w:color w:val="204A87"/>
      <w:sz w:val="18"/>
      <w:shd w:fill="F8F8F8" w:val="clear"/>
    </w:rPr>
  </w:style>
  <w:style w:type="character" w:styleId="OperatorTok" w:customStyle="1">
    <w:name w:val="OperatorTok"/>
    <w:basedOn w:val="VerbatimChar"/>
    <w:qFormat/>
    <w:rsid w:val="00b00530"/>
    <w:rPr>
      <w:rFonts w:ascii="Consolas" w:hAnsi="Consolas"/>
      <w:b/>
      <w:i w:val="false"/>
      <w:color w:val="CE5C00"/>
      <w:sz w:val="18"/>
      <w:shd w:fill="F8F8F8" w:val="clear"/>
    </w:rPr>
  </w:style>
  <w:style w:type="character" w:styleId="BuiltInTok" w:customStyle="1">
    <w:name w:val="BuiltInTok"/>
    <w:basedOn w:val="VerbatimChar"/>
    <w:qFormat/>
    <w:rsid w:val="00b00530"/>
    <w:rPr>
      <w:rFonts w:ascii="Consolas" w:hAnsi="Consolas"/>
      <w:i w:val="false"/>
      <w:sz w:val="18"/>
      <w:shd w:fill="F8F8F8" w:val="clear"/>
    </w:rPr>
  </w:style>
  <w:style w:type="character" w:styleId="ExtensionTok" w:customStyle="1">
    <w:name w:val="ExtensionTok"/>
    <w:basedOn w:val="VerbatimChar"/>
    <w:qFormat/>
    <w:rsid w:val="00b00530"/>
    <w:rPr>
      <w:rFonts w:ascii="Consolas" w:hAnsi="Consolas"/>
      <w:i w:val="false"/>
      <w:sz w:val="18"/>
      <w:shd w:fill="F8F8F8" w:val="clear"/>
    </w:rPr>
  </w:style>
  <w:style w:type="character" w:styleId="PreprocessorTok" w:customStyle="1">
    <w:name w:val="PreprocessorTok"/>
    <w:basedOn w:val="VerbatimChar"/>
    <w:qFormat/>
    <w:rsid w:val="00b00530"/>
    <w:rPr>
      <w:rFonts w:ascii="Consolas" w:hAnsi="Consolas"/>
      <w:i/>
      <w:color w:val="8F5902"/>
      <w:sz w:val="18"/>
      <w:shd w:fill="F8F8F8" w:val="clear"/>
    </w:rPr>
  </w:style>
  <w:style w:type="character" w:styleId="AttributeTok" w:customStyle="1">
    <w:name w:val="AttributeTok"/>
    <w:basedOn w:val="VerbatimChar"/>
    <w:qFormat/>
    <w:rsid w:val="00b00530"/>
    <w:rPr>
      <w:rFonts w:ascii="Consolas" w:hAnsi="Consolas"/>
      <w:i w:val="false"/>
      <w:color w:val="C4A000"/>
      <w:sz w:val="18"/>
      <w:shd w:fill="F8F8F8" w:val="clear"/>
    </w:rPr>
  </w:style>
  <w:style w:type="character" w:styleId="RegionMarkerTok" w:customStyle="1">
    <w:name w:val="RegionMarkerTok"/>
    <w:basedOn w:val="VerbatimChar"/>
    <w:qFormat/>
    <w:rsid w:val="00b00530"/>
    <w:rPr>
      <w:rFonts w:ascii="Consolas" w:hAnsi="Consolas"/>
      <w:i w:val="false"/>
      <w:sz w:val="18"/>
      <w:shd w:fill="F8F8F8" w:val="clear"/>
    </w:rPr>
  </w:style>
  <w:style w:type="character" w:styleId="InformationTok" w:customStyle="1">
    <w:name w:val="InformationTok"/>
    <w:basedOn w:val="VerbatimChar"/>
    <w:qFormat/>
    <w:rsid w:val="00b00530"/>
    <w:rPr>
      <w:rFonts w:ascii="Consolas" w:hAnsi="Consolas"/>
      <w:b/>
      <w:i/>
      <w:color w:val="8F5902"/>
      <w:sz w:val="18"/>
      <w:shd w:fill="F8F8F8" w:val="clear"/>
    </w:rPr>
  </w:style>
  <w:style w:type="character" w:styleId="WarningTok" w:customStyle="1">
    <w:name w:val="WarningTok"/>
    <w:basedOn w:val="VerbatimChar"/>
    <w:qFormat/>
    <w:rsid w:val="00b00530"/>
    <w:rPr>
      <w:rFonts w:ascii="Consolas" w:hAnsi="Consolas"/>
      <w:b/>
      <w:i/>
      <w:color w:val="8F5902"/>
      <w:sz w:val="18"/>
      <w:shd w:fill="F8F8F8" w:val="clear"/>
    </w:rPr>
  </w:style>
  <w:style w:type="character" w:styleId="AlertTok" w:customStyle="1">
    <w:name w:val="AlertTok"/>
    <w:basedOn w:val="VerbatimChar"/>
    <w:qFormat/>
    <w:rsid w:val="00b00530"/>
    <w:rPr>
      <w:rFonts w:ascii="Consolas" w:hAnsi="Consolas"/>
      <w:i w:val="false"/>
      <w:color w:val="EF2929"/>
      <w:sz w:val="18"/>
      <w:shd w:fill="F8F8F8" w:val="clear"/>
    </w:rPr>
  </w:style>
  <w:style w:type="character" w:styleId="ErrorTok" w:customStyle="1">
    <w:name w:val="ErrorTok"/>
    <w:basedOn w:val="VerbatimChar"/>
    <w:qFormat/>
    <w:rsid w:val="00b00530"/>
    <w:rPr>
      <w:rFonts w:ascii="Consolas" w:hAnsi="Consolas"/>
      <w:b/>
      <w:i w:val="false"/>
      <w:color w:val="A40000"/>
      <w:sz w:val="18"/>
      <w:shd w:fill="F8F8F8" w:val="clear"/>
    </w:rPr>
  </w:style>
  <w:style w:type="character" w:styleId="NormalTok" w:customStyle="1">
    <w:name w:val="NormalTok"/>
    <w:basedOn w:val="VerbatimChar"/>
    <w:qFormat/>
    <w:rsid w:val="00b00530"/>
    <w:rPr>
      <w:rFonts w:ascii="Consolas" w:hAnsi="Consolas"/>
      <w:i w:val="false"/>
      <w:sz w:val="18"/>
      <w:shd w:fill="F8F8F8" w:val="clear"/>
    </w:rPr>
  </w:style>
  <w:style w:type="character" w:styleId="BodyTextChar" w:customStyle="1">
    <w:name w:val="Body Text Char"/>
    <w:basedOn w:val="DefaultParagraphFont"/>
    <w:qFormat/>
    <w:rsid w:val="0098354d"/>
    <w:rPr>
      <w:rFonts w:ascii="Arial" w:hAnsi="Arial"/>
      <w:sz w:val="22"/>
    </w:rPr>
  </w:style>
  <w:style w:type="character" w:styleId="BalloonTextChar" w:customStyle="1">
    <w:name w:val="Balloon Text Char"/>
    <w:basedOn w:val="DefaultParagraphFont"/>
    <w:link w:val="BalloonText"/>
    <w:qFormat/>
    <w:rsid w:val="00a70c7c"/>
    <w:rPr>
      <w:rFonts w:ascii="Calibri" w:hAnsi="Calibri" w:cs="Times New Roman" w:asciiTheme="majorHAnsi" w:hAnsiTheme="majorHAnsi"/>
      <w:sz w:val="18"/>
      <w:szCs w:val="18"/>
    </w:rPr>
  </w:style>
  <w:style w:type="character" w:styleId="BodyText2Char" w:customStyle="1">
    <w:name w:val="Body Text 2 Char"/>
    <w:basedOn w:val="DefaultParagraphFont"/>
    <w:link w:val="BodyText2"/>
    <w:qFormat/>
    <w:rsid w:val="00a70c7c"/>
    <w:rPr>
      <w:rFonts w:ascii="Arial" w:hAnsi="Arial"/>
      <w:sz w:val="22"/>
    </w:rPr>
  </w:style>
  <w:style w:type="character" w:styleId="BodyText3Char" w:customStyle="1">
    <w:name w:val="Body Text 3 Char"/>
    <w:basedOn w:val="DefaultParagraphFont"/>
    <w:link w:val="BodyText3"/>
    <w:qFormat/>
    <w:rsid w:val="00a70c7c"/>
    <w:rPr>
      <w:rFonts w:ascii="Arial" w:hAnsi="Arial"/>
      <w:sz w:val="22"/>
      <w:szCs w:val="16"/>
    </w:rPr>
  </w:style>
  <w:style w:type="character" w:styleId="BodyTextFirstIndentChar" w:customStyle="1">
    <w:name w:val="Body Text First Indent Char"/>
    <w:basedOn w:val="BodyTextChar"/>
    <w:semiHidden/>
    <w:qFormat/>
    <w:rsid w:val="00a70c7c"/>
    <w:rPr>
      <w:rFonts w:ascii="Arial" w:hAnsi="Arial"/>
      <w:sz w:val="22"/>
    </w:rPr>
  </w:style>
  <w:style w:type="character" w:styleId="BodyTextIndent3Char" w:customStyle="1">
    <w:name w:val="Body Text Indent 3 Char"/>
    <w:basedOn w:val="DefaultParagraphFont"/>
    <w:link w:val="BodyTextIndent3"/>
    <w:semiHidden/>
    <w:qFormat/>
    <w:rsid w:val="00a70c7c"/>
    <w:rPr>
      <w:rFonts w:ascii="Arial" w:hAnsi="Arial"/>
      <w:sz w:val="22"/>
      <w:szCs w:val="16"/>
    </w:rPr>
  </w:style>
  <w:style w:type="character" w:styleId="BodyTextIndent2Char" w:customStyle="1">
    <w:name w:val="Body Text Indent 2 Char"/>
    <w:basedOn w:val="DefaultParagraphFont"/>
    <w:link w:val="BodyTextIndent2"/>
    <w:semiHidden/>
    <w:qFormat/>
    <w:rsid w:val="00a70c7c"/>
    <w:rPr>
      <w:rFonts w:ascii="Arial" w:hAnsi="Arial"/>
      <w:sz w:val="22"/>
    </w:rPr>
  </w:style>
  <w:style w:type="character" w:styleId="FooterChar" w:customStyle="1">
    <w:name w:val="Footer Char"/>
    <w:basedOn w:val="DefaultParagraphFont"/>
    <w:link w:val="Footer"/>
    <w:qFormat/>
    <w:rsid w:val="00a0085e"/>
    <w:rPr>
      <w:rFonts w:ascii="Arial" w:hAnsi="Arial"/>
      <w:sz w:val="16"/>
    </w:rPr>
  </w:style>
  <w:style w:type="character" w:styleId="PageNumber">
    <w:name w:val="page number"/>
    <w:basedOn w:val="DefaultParagraphFont"/>
    <w:semiHidden/>
    <w:unhideWhenUsed/>
    <w:rsid w:val="00a0085e"/>
    <w:rPr/>
  </w:style>
  <w:style w:type="character" w:styleId="HeaderChar" w:customStyle="1">
    <w:name w:val="Header Char"/>
    <w:basedOn w:val="DefaultParagraphFont"/>
    <w:link w:val="Header"/>
    <w:qFormat/>
    <w:rsid w:val="00a0085e"/>
    <w:rPr>
      <w:rFonts w:ascii="Arial" w:hAnsi="Arial"/>
      <w:sz w:val="22"/>
    </w:rPr>
  </w:style>
  <w:style w:type="character" w:styleId="MacroTextChar" w:customStyle="1">
    <w:name w:val="Macro Text Char"/>
    <w:basedOn w:val="DefaultParagraphFont"/>
    <w:link w:val="MacroText"/>
    <w:semiHidden/>
    <w:qFormat/>
    <w:rsid w:val="00b00530"/>
    <w:rPr>
      <w:rFonts w:ascii="Consolas" w:hAnsi="Consolas" w:cs="Consolas"/>
      <w:sz w:val="18"/>
      <w:szCs w:val="20"/>
    </w:rPr>
  </w:style>
  <w:style w:type="character" w:styleId="PlainTextChar" w:customStyle="1">
    <w:name w:val="Plain Text Char"/>
    <w:basedOn w:val="DefaultParagraphFont"/>
    <w:link w:val="PlainText"/>
    <w:semiHidden/>
    <w:qFormat/>
    <w:rsid w:val="00b00530"/>
    <w:rPr>
      <w:rFonts w:ascii="Consolas" w:hAnsi="Consolas" w:cs="Consolas"/>
      <w:sz w:val="18"/>
      <w:szCs w:val="21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link w:val="BodyTextChar"/>
    <w:qFormat/>
    <w:rsid w:val="0098354d"/>
    <w:pPr>
      <w:spacing w:lineRule="auto" w:line="360" w:before="180" w:after="18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link w:val="CaptionChar"/>
    <w:qFormat/>
    <w:rsid w:val="00a70c7c"/>
    <w:pPr/>
    <w:rPr>
      <w:i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rsid w:val="0011024e"/>
    <w:pPr>
      <w:spacing w:before="36" w:after="36"/>
    </w:pPr>
    <w:rPr>
      <w:sz w:val="20"/>
    </w:rPr>
  </w:style>
  <w:style w:type="paragraph" w:styleId="Title">
    <w:name w:val="Title"/>
    <w:basedOn w:val="Normal"/>
    <w:next w:val="BodyText"/>
    <w:qFormat/>
    <w:rsid w:val="0098354d"/>
    <w:pPr>
      <w:keepNext w:val="true"/>
      <w:keepLines/>
      <w:spacing w:before="0" w:after="200"/>
      <w:jc w:val="center"/>
    </w:pPr>
    <w:rPr>
      <w:rFonts w:eastAsia="" w:cs="" w:cstheme="majorBidi" w:eastAsiaTheme="majorEastAsia"/>
      <w:b/>
      <w:bCs/>
      <w:color w:themeColor="text1" w:val="000000"/>
      <w:szCs w:val="36"/>
    </w:rPr>
  </w:style>
  <w:style w:type="paragraph" w:styleId="Subtitle">
    <w:name w:val="Subtitle"/>
    <w:basedOn w:val="Title"/>
    <w:next w:val="BodyText"/>
    <w:qFormat/>
    <w:pPr>
      <w:spacing w:before="240" w:after="240"/>
    </w:pPr>
    <w:rPr>
      <w:sz w:val="30"/>
      <w:szCs w:val="30"/>
    </w:rPr>
  </w:style>
  <w:style w:type="paragraph" w:styleId="Author" w:customStyle="1">
    <w:name w:val="Author"/>
    <w:next w:val="BodyText"/>
    <w:qFormat/>
    <w:rsid w:val="0098354d"/>
    <w:pPr>
      <w:keepNext w:val="true"/>
      <w:keepLines/>
      <w:widowControl/>
      <w:bidi w:val="0"/>
      <w:spacing w:before="40" w:after="220"/>
      <w:jc w:val="center"/>
    </w:pPr>
    <w:rPr>
      <w:rFonts w:ascii="Arial" w:hAnsi="Arial" w:eastAsia="Cambria" w:cs="" w:cstheme="minorBidi" w:eastAsiaTheme="minorHAnsi"/>
      <w:color w:val="auto"/>
      <w:kern w:val="0"/>
      <w:sz w:val="22"/>
      <w:szCs w:val="24"/>
      <w:lang w:val="en-US" w:eastAsia="en-US" w:bidi="ar-SA"/>
    </w:rPr>
  </w:style>
  <w:style w:type="paragraph" w:styleId="Date">
    <w:name w:val="Date"/>
    <w:next w:val="BodyText"/>
    <w:qFormat/>
    <w:rsid w:val="0098354d"/>
    <w:pPr>
      <w:keepNext w:val="true"/>
      <w:keepLines/>
      <w:widowControl/>
      <w:bidi w:val="0"/>
      <w:spacing w:before="0" w:after="220"/>
      <w:jc w:val="center"/>
    </w:pPr>
    <w:rPr>
      <w:rFonts w:ascii="Arial" w:hAnsi="Arial" w:eastAsia="Cambria" w:cs="" w:cstheme="minorBidi" w:eastAsiaTheme="minorHAnsi"/>
      <w:color w:val="auto"/>
      <w:kern w:val="0"/>
      <w:sz w:val="22"/>
      <w:szCs w:val="24"/>
      <w:lang w:val="en-US" w:eastAsia="en-US" w:bidi="ar-SA"/>
    </w:rPr>
  </w:style>
  <w:style w:type="paragraph" w:styleId="Abstract" w:customStyle="1">
    <w:name w:val="Abstract"/>
    <w:basedOn w:val="Normal"/>
    <w:next w:val="BodyText"/>
    <w:qFormat/>
    <w:rsid w:val="0098354d"/>
    <w:pPr>
      <w:keepNext w:val="true"/>
      <w:keepLines/>
      <w:spacing w:lineRule="auto" w:line="360" w:before="220" w:after="220"/>
      <w:ind w:left="720" w:right="720"/>
    </w:pPr>
    <w:rPr>
      <w:sz w:val="20"/>
      <w:szCs w:val="20"/>
    </w:rPr>
  </w:style>
  <w:style w:type="paragraph" w:styleId="Bibliography">
    <w:name w:val="Bibliography"/>
    <w:basedOn w:val="Normal"/>
    <w:qFormat/>
    <w:rsid w:val="00a75392"/>
    <w:pPr>
      <w:spacing w:before="0" w:after="220"/>
      <w:ind w:hanging="720" w:left="720"/>
    </w:pPr>
    <w:rPr/>
  </w:style>
  <w:style w:type="paragraph" w:styleId="BlockText">
    <w:name w:val="Block Text"/>
    <w:basedOn w:val="BodyText"/>
    <w:next w:val="BodyText"/>
    <w:uiPriority w:val="9"/>
    <w:unhideWhenUsed/>
    <w:qFormat/>
    <w:rsid w:val="00d81da6"/>
    <w:pPr>
      <w:pBdr>
        <w:left w:val="single" w:sz="4" w:space="4" w:color="000000"/>
      </w:pBdr>
      <w:spacing w:before="0" w:after="0"/>
      <w:ind w:left="475" w:right="475"/>
    </w:pPr>
    <w:rPr>
      <w:i/>
    </w:rPr>
  </w:style>
  <w:style w:type="paragraph" w:styleId="FootnoteText">
    <w:name w:val="footnote text"/>
    <w:basedOn w:val="Normal"/>
    <w:uiPriority w:val="9"/>
    <w:unhideWhenUsed/>
    <w:qFormat/>
    <w:rsid w:val="00cc7ff9"/>
    <w:pPr/>
    <w:rPr>
      <w:sz w:val="18"/>
    </w:rPr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rsid w:val="002c20de"/>
    <w:pPr>
      <w:spacing w:before="100" w:after="220"/>
    </w:pPr>
    <w:rPr>
      <w:b/>
      <w:i w:val="false"/>
      <w:sz w:val="20"/>
    </w:rPr>
  </w:style>
  <w:style w:type="paragraph" w:styleId="Figure" w:customStyle="1">
    <w:name w:val="Figure"/>
    <w:basedOn w:val="Normal"/>
    <w:qFormat/>
    <w:rsid w:val="00e2640b"/>
    <w:pPr>
      <w:jc w:val="center"/>
    </w:pPr>
    <w:rPr/>
  </w:style>
  <w:style w:type="paragraph" w:styleId="CaptionedFigure" w:customStyle="1">
    <w:name w:val="Captioned Figure"/>
    <w:basedOn w:val="Figure"/>
    <w:qFormat/>
    <w:rsid w:val="00e2640b"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rsid w:val="00c80241"/>
    <w:pPr>
      <w:spacing w:lineRule="auto" w:line="259" w:before="220" w:after="120"/>
      <w:outlineLvl w:val="9"/>
    </w:pPr>
    <w:rPr>
      <w:bCs w:val="false"/>
    </w:rPr>
  </w:style>
  <w:style w:type="paragraph" w:styleId="SourceCode" w:customStyle="1">
    <w:name w:val="Source Code"/>
    <w:basedOn w:val="Normal"/>
    <w:link w:val="VerbatimChar"/>
    <w:qFormat/>
    <w:rsid w:val="00a11931"/>
    <w:pPr>
      <w:shd w:val="clear" w:color="auto" w:fill="F8F8F8"/>
    </w:pPr>
    <w:rPr>
      <w:rFonts w:ascii="Consolas" w:hAnsi="Consolas"/>
      <w:sz w:val="18"/>
    </w:rPr>
  </w:style>
  <w:style w:type="paragraph" w:styleId="BalloonText">
    <w:name w:val="Balloon Text"/>
    <w:basedOn w:val="Normal"/>
    <w:link w:val="BalloonTextChar"/>
    <w:unhideWhenUsed/>
    <w:qFormat/>
    <w:rsid w:val="00a70c7c"/>
    <w:pPr/>
    <w:rPr>
      <w:rFonts w:ascii="Calibri" w:hAnsi="Calibri" w:cs="Times New Roman" w:asciiTheme="majorHAnsi" w:hAnsiTheme="majorHAnsi"/>
      <w:sz w:val="18"/>
      <w:szCs w:val="18"/>
    </w:rPr>
  </w:style>
  <w:style w:type="paragraph" w:styleId="BodyText2">
    <w:name w:val="Body Text 2"/>
    <w:basedOn w:val="Normal"/>
    <w:link w:val="BodyText2Char"/>
    <w:qFormat/>
    <w:rsid w:val="00a70c7c"/>
    <w:pPr/>
    <w:rPr/>
  </w:style>
  <w:style w:type="paragraph" w:styleId="BodyText3">
    <w:name w:val="Body Text 3"/>
    <w:basedOn w:val="Normal"/>
    <w:link w:val="BodyText3Char"/>
    <w:qFormat/>
    <w:rsid w:val="00a70c7c"/>
    <w:pPr/>
    <w:rPr>
      <w:szCs w:val="16"/>
    </w:rPr>
  </w:style>
  <w:style w:type="paragraph" w:styleId="BodyTextFirstIndent">
    <w:name w:val="Body Text First Indent"/>
    <w:basedOn w:val="BodyText"/>
    <w:link w:val="BodyTextFirstIndentChar"/>
    <w:semiHidden/>
    <w:unhideWhenUsed/>
    <w:rsid w:val="00a70c7c"/>
    <w:pPr>
      <w:spacing w:before="0" w:after="0"/>
      <w:ind w:firstLine="360"/>
    </w:pPr>
    <w:rPr/>
  </w:style>
  <w:style w:type="paragraph" w:styleId="BodyTextIndent3">
    <w:name w:val="Body Text Indent 3"/>
    <w:basedOn w:val="Normal"/>
    <w:link w:val="BodyTextIndent3Char"/>
    <w:semiHidden/>
    <w:unhideWhenUsed/>
    <w:qFormat/>
    <w:rsid w:val="00a70c7c"/>
    <w:pPr>
      <w:ind w:left="360"/>
    </w:pPr>
    <w:rPr>
      <w:szCs w:val="16"/>
    </w:rPr>
  </w:style>
  <w:style w:type="paragraph" w:styleId="BodyTextIndent2">
    <w:name w:val="Body Text Indent 2"/>
    <w:basedOn w:val="Normal"/>
    <w:link w:val="BodyTextIndent2Char"/>
    <w:semiHidden/>
    <w:unhideWhenUsed/>
    <w:qFormat/>
    <w:rsid w:val="00a70c7c"/>
    <w:pPr>
      <w:ind w:left="360"/>
    </w:pPr>
    <w:rPr/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nhideWhenUsed/>
    <w:rsid w:val="00a0085e"/>
    <w:pPr>
      <w:tabs>
        <w:tab w:val="clear" w:pos="720"/>
        <w:tab w:val="center" w:pos="4680" w:leader="none"/>
        <w:tab w:val="right" w:pos="9360" w:leader="none"/>
      </w:tabs>
    </w:pPr>
    <w:rPr>
      <w:sz w:val="16"/>
    </w:rPr>
  </w:style>
  <w:style w:type="paragraph" w:styleId="Header">
    <w:name w:val="header"/>
    <w:basedOn w:val="Normal"/>
    <w:link w:val="HeaderChar"/>
    <w:unhideWhenUsed/>
    <w:rsid w:val="00a0085e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TOC2">
    <w:name w:val="toc 2"/>
    <w:basedOn w:val="Normal"/>
    <w:next w:val="Normal"/>
    <w:autoRedefine/>
    <w:uiPriority w:val="39"/>
    <w:unhideWhenUsed/>
    <w:rsid w:val="00a11931"/>
    <w:pPr>
      <w:spacing w:before="0" w:after="100"/>
      <w:ind w:left="220"/>
    </w:pPr>
    <w:rPr/>
  </w:style>
  <w:style w:type="paragraph" w:styleId="TOC3">
    <w:name w:val="toc 3"/>
    <w:basedOn w:val="Normal"/>
    <w:next w:val="Normal"/>
    <w:autoRedefine/>
    <w:uiPriority w:val="39"/>
    <w:unhideWhenUsed/>
    <w:rsid w:val="00a11931"/>
    <w:pPr>
      <w:spacing w:before="0" w:after="100"/>
      <w:ind w:left="440"/>
    </w:pPr>
    <w:rPr/>
  </w:style>
  <w:style w:type="paragraph" w:styleId="MacroText">
    <w:name w:val="macro"/>
    <w:link w:val="MacroTextChar"/>
    <w:semiHidden/>
    <w:unhideWhenUsed/>
    <w:qFormat/>
    <w:rsid w:val="00b00530"/>
    <w:pPr>
      <w:widowControl/>
      <w:tabs>
        <w:tab w:val="clear" w:pos="720"/>
        <w:tab w:val="left" w:pos="480" w:leader="none"/>
        <w:tab w:val="left" w:pos="960" w:leader="none"/>
        <w:tab w:val="left" w:pos="1440" w:leader="none"/>
        <w:tab w:val="left" w:pos="1920" w:leader="none"/>
        <w:tab w:val="left" w:pos="2400" w:leader="none"/>
        <w:tab w:val="left" w:pos="2880" w:leader="none"/>
        <w:tab w:val="left" w:pos="3360" w:leader="none"/>
        <w:tab w:val="left" w:pos="3840" w:leader="none"/>
        <w:tab w:val="left" w:pos="4320" w:leader="none"/>
      </w:tabs>
      <w:bidi w:val="0"/>
      <w:spacing w:before="0" w:after="0"/>
      <w:jc w:val="left"/>
    </w:pPr>
    <w:rPr>
      <w:rFonts w:ascii="Consolas" w:hAnsi="Consolas" w:cs="Consolas" w:eastAsia="Cambria" w:eastAsiaTheme="minorHAnsi"/>
      <w:color w:val="auto"/>
      <w:kern w:val="0"/>
      <w:sz w:val="18"/>
      <w:szCs w:val="20"/>
      <w:lang w:val="en-US" w:eastAsia="en-US" w:bidi="ar-SA"/>
    </w:rPr>
  </w:style>
  <w:style w:type="paragraph" w:styleId="PlainText">
    <w:name w:val="Plain Text"/>
    <w:basedOn w:val="Normal"/>
    <w:link w:val="PlainTextChar"/>
    <w:semiHidden/>
    <w:unhideWhenUsed/>
    <w:qFormat/>
    <w:rsid w:val="00b00530"/>
    <w:pPr/>
    <w:rPr>
      <w:rFonts w:ascii="Consolas" w:hAnsi="Consolas" w:cs="Consolas"/>
      <w:sz w:val="18"/>
      <w:szCs w:val="21"/>
    </w:rPr>
  </w:style>
  <w:style w:type="paragraph" w:styleId="center" w:customStyle="1">
    <w:name w:val="center"/>
    <w:basedOn w:val="BodyText"/>
    <w:qFormat/>
    <w:rsid w:val="00977e86"/>
    <w:pPr>
      <w:jc w:val="center"/>
    </w:pPr>
    <w:rPr/>
  </w:style>
  <w:style w:type="paragraph" w:styleId="footnotesize" w:customStyle="1">
    <w:name w:val="footnotesize"/>
    <w:basedOn w:val="BodyText"/>
    <w:qFormat/>
    <w:rsid w:val="00da6f82"/>
    <w:pPr/>
    <w:rPr>
      <w:sz w:val="16"/>
    </w:rPr>
  </w:style>
  <w:style w:type="paragraph" w:styleId="detailbox" w:customStyle="1">
    <w:name w:val="detailbox"/>
    <w:basedOn w:val="BodyText"/>
    <w:qFormat/>
    <w:rsid w:val="0071606c"/>
    <w:pPr>
      <w:pBdr>
        <w:top w:val="single" w:sz="4" w:space="1" w:color="000000"/>
        <w:left w:val="single" w:sz="4" w:space="4" w:color="000000"/>
        <w:bottom w:val="single" w:sz="4" w:space="1" w:color="000000"/>
        <w:right w:val="single" w:sz="4" w:space="4" w:color="000000"/>
      </w:pBdr>
      <w:shd w:val="clear" w:color="auto" w:fill="D9D9D9" w:themeFill="background1" w:themeFillShade="d9"/>
    </w:pPr>
    <w:rPr>
      <w:sz w:val="18"/>
    </w:rPr>
  </w:style>
  <w:style w:type="paragraph" w:styleId="Author-Name" w:customStyle="1">
    <w:name w:val="Author-Name"/>
    <w:basedOn w:val="FirstParagraph"/>
    <w:qFormat/>
    <w:rsid w:val="009e1494"/>
    <w:pPr>
      <w:spacing w:lineRule="auto" w:line="240" w:before="100" w:after="0"/>
      <w:ind w:left="1440" w:right="1440"/>
      <w:jc w:val="center"/>
    </w:pPr>
    <w:rPr>
      <w:b/>
      <w:bCs/>
    </w:rPr>
  </w:style>
  <w:style w:type="paragraph" w:styleId="Author-Affiliation" w:customStyle="1">
    <w:name w:val="Author-Affiliation"/>
    <w:basedOn w:val="Author-Name"/>
    <w:qFormat/>
    <w:rsid w:val="009e1494"/>
    <w:pPr>
      <w:spacing w:before="0" w:after="0"/>
    </w:pPr>
    <w:rPr>
      <w:b w:val="false"/>
    </w:rPr>
  </w:style>
  <w:style w:type="paragraph" w:styleId="Author-email" w:customStyle="1">
    <w:name w:val="Author-email"/>
    <w:basedOn w:val="Author-Affiliation"/>
    <w:qFormat/>
    <w:rsid w:val="008f24ce"/>
    <w:pPr/>
    <w:rPr>
      <w:i/>
      <w:iCs/>
    </w:rPr>
  </w:style>
  <w:style w:type="paragraph" w:styleId="Author-ORCID" w:customStyle="1">
    <w:name w:val="Author-ORCID"/>
    <w:basedOn w:val="BodyText"/>
    <w:qFormat/>
    <w:rsid w:val="00965f7e"/>
    <w:pPr>
      <w:spacing w:lineRule="auto" w:line="240" w:before="0" w:after="0"/>
      <w:ind w:left="1440" w:right="1440"/>
      <w:jc w:val="center"/>
    </w:pPr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table" w:styleId="ListTable3-Accent2">
    <w:name w:val="List Table 3 Accent 2"/>
    <w:basedOn w:val="TableNormal"/>
    <w:uiPriority w:val="48"/>
    <w:rsid w:val="002c2286"/>
    <w:pPr>
      <w:spacing w:after="0"/>
    </w:pPr>
    <w:tblPr>
      <w:tblStyleRowBandSize w:val="1"/>
      <w:tblStyleColBandSize w:val="1"/>
      <w:tblBorders>
        <w:top w:val="single" w:color="C0504D" w:themeColor="accent2" w:sz="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color="C0504D" w:themeColor="accent2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C0504D" w:themeColor="accent2" w:sz="4" w:space="0"/>
          <w:right w:val="single" w:color="C0504D" w:themeColor="accent2" w:sz="4" w:space="0"/>
        </w:tcBorders>
      </w:tcPr>
    </w:tblStylePr>
    <w:tblStylePr w:type="band1Horz">
      <w:tblPr/>
      <w:tcPr>
        <w:tcBorders>
          <w:top w:val="single" w:color="C0504D" w:themeColor="accent2" w:sz="4" w:space="0"/>
          <w:bottom w:val="single" w:color="C0504D" w:themeColor="accent2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C0504D" w:themeColor="accent2" w:sz="4" w:space="0"/>
          <w:left w:val="nil"/>
        </w:tcBorders>
      </w:tcPr>
    </w:tblStylePr>
    <w:tblStylePr w:type="swCell">
      <w:tblPr/>
      <w:tcPr>
        <w:tcBorders>
          <w:top w:val="double" w:color="C0504D" w:themeColor="accent2" w:sz="4" w:space="0"/>
          <w:right w:val="nil"/>
        </w:tcBorders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footer" Target="footer3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LibreOffice/26.2.5.2$MacOSX_X86_64 LibreOffice_project/cd7284b4cbbfeb507e630c1aac019f4157393acb</Application>
  <AppVersion>15.0000</AppVersion>
  <Pages>14</Pages>
  <Words>6129</Words>
  <Characters>34936</Characters>
  <CharactersWithSpaces>40984</CharactersWithSpaces>
  <Paragraphs>81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2026-10-22T18:23:59Z</dcterms:created>
  <dc:creator>Richard N. Jones; Jennifer J. Manly; Douglas Tommet; Lindsay Kobayashi; Lindsay H. Ryan; Ryan J. McCammon; Steven G. Heeringa; David Weir; Kenneth M. Langa</dc:creator>
  <dc:description/>
  <dc:language>en-US</dc:language>
  <cp:lastModifiedBy/>
  <dcterms:modified xsi:type="dcterms:W3CDTF">2026-10-22T18:23:59Z</dcterms:modified>
  <cp:revision>0</cp:revision>
  <dc:subject/>
  <dc:title>Two HRS Core cognitive classification methods informed by HRS/HCAP: Figures, tables, and appendices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y-affiliation">
    <vt:lpwstr/>
  </property>
  <property fmtid="{D5CDD505-2E9C-101B-9397-08002B2CF9AE}" pid="6" name="by-author">
    <vt:lpwstr/>
  </property>
  <property fmtid="{D5CDD505-2E9C-101B-9397-08002B2CF9AE}" pid="7" name="date">
    <vt:lpwstr>2026-10-22</vt:lpwstr>
  </property>
  <property fmtid="{D5CDD505-2E9C-101B-9397-08002B2CF9AE}" pid="8" name="editor">
    <vt:lpwstr>source</vt:lpwstr>
  </property>
  <property fmtid="{D5CDD505-2E9C-101B-9397-08002B2CF9AE}" pid="9" name="execute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toc-title">
    <vt:lpwstr>Table of contents</vt:lpwstr>
  </property>
</Properties>
</file>