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Prevalence of Dementia and Mild Cognitive Impairment in the Health and Retirement Study</w:t>
      </w:r>
    </w:p>
    <w:p>
      <w:pPr>
        <w:pStyle w:val="Author"/>
      </w:pPr>
      <w:r>
        <w:t xml:space="preserve">Richard N. Jones</w:t>
      </w:r>
    </w:p>
    <w:p>
      <w:pPr>
        <w:pStyle w:val="Author"/>
      </w:pPr>
      <w:r>
        <w:t xml:space="preserve">Jennifer J. Manly</w:t>
      </w:r>
    </w:p>
    <w:p>
      <w:pPr>
        <w:pStyle w:val="Author"/>
      </w:pPr>
      <w:r>
        <w:t xml:space="preserve">Douglas Tommet</w:t>
      </w:r>
    </w:p>
    <w:p>
      <w:pPr>
        <w:pStyle w:val="Author"/>
      </w:pPr>
      <w:r>
        <w:t xml:space="preserve">Lindsay Kobayashi</w:t>
      </w:r>
    </w:p>
    <w:p>
      <w:pPr>
        <w:pStyle w:val="Author"/>
      </w:pPr>
      <w:r>
        <w:t xml:space="preserve">Lindsay H. Ryan</w:t>
      </w:r>
    </w:p>
    <w:p>
      <w:pPr>
        <w:pStyle w:val="Author"/>
      </w:pPr>
      <w:r>
        <w:t xml:space="preserve">Deborah A. Levine</w:t>
      </w:r>
    </w:p>
    <w:p>
      <w:pPr>
        <w:pStyle w:val="Author"/>
      </w:pPr>
      <w:r>
        <w:t xml:space="preserve">Ryan J. McCammon</w:t>
      </w:r>
    </w:p>
    <w:p>
      <w:pPr>
        <w:pStyle w:val="Author"/>
      </w:pPr>
      <w:r>
        <w:t xml:space="preserve">Steven G. Heeringa</w:t>
      </w:r>
    </w:p>
    <w:p>
      <w:pPr>
        <w:pStyle w:val="Author"/>
      </w:pPr>
      <w:r>
        <w:t xml:space="preserve">David Weir</w:t>
      </w:r>
    </w:p>
    <w:p>
      <w:pPr>
        <w:pStyle w:val="Author"/>
      </w:pPr>
      <w:r>
        <w:t xml:space="preserve">Kenneth M. Langa</w:t>
      </w:r>
    </w:p>
    <w:p>
      <w:pPr>
        <w:pStyle w:val="Date"/>
      </w:pPr>
      <w:r>
        <w:t xml:space="preserve">2025-07-22</w:t>
      </w:r>
    </w:p>
    <w:p>
      <w:pPr>
        <w:pStyle w:val="AbstractTitle"/>
      </w:pPr>
      <w:r>
        <w:t xml:space="preserve">Abstract</w:t>
      </w:r>
    </w:p>
    <w:p>
      <w:pPr>
        <w:pStyle w:val="Abstract"/>
      </w:pPr>
      <w:r>
        <w:rPr>
          <w:b/>
          <w:bCs/>
        </w:rPr>
        <w:t xml:space="preserve">Importance:</w:t>
      </w:r>
      <w:r>
        <w:t xml:space="preserve"> </w:t>
      </w:r>
      <w:r>
        <w:t xml:space="preserve">Dementia and mild cognitive impairment (MCI) are common in older adults, but their prevalence is not well understood and challenging to assess in large population-based studies.</w:t>
      </w:r>
      <w:r>
        <w:t xml:space="preserve"> </w:t>
      </w:r>
      <w:r>
        <w:rPr>
          <w:b/>
          <w:bCs/>
        </w:rPr>
        <w:t xml:space="preserve">Objective:</w:t>
      </w:r>
      <w:r>
        <w:t xml:space="preserve"> </w:t>
      </w:r>
      <w:r>
        <w:t xml:space="preserve">Describe the prevalence of MCI and dementia in the Health and Retirement Study (HRS), using a novel approach to classifying dementia informed by the recently completed wave 1 of the Harmonized Cognitive Assessment Protocol (HCAP) study.</w:t>
      </w:r>
      <w:r>
        <w:t xml:space="preserve"> </w:t>
      </w:r>
      <w:r>
        <w:rPr>
          <w:b/>
          <w:bCs/>
        </w:rPr>
        <w:t xml:space="preserve">Design:</w:t>
      </w:r>
      <w:r>
        <w:t xml:space="preserve"> </w:t>
      </w:r>
      <w:r>
        <w:t xml:space="preserve">Cross-sectional analysis of the 2016 HRS Core sample, validation using existing consensus panel classifications.</w:t>
      </w:r>
      <w:r>
        <w:t xml:space="preserve"> </w:t>
      </w:r>
      <w:r>
        <w:rPr>
          <w:b/>
          <w:bCs/>
        </w:rPr>
        <w:t xml:space="preserve">Main Outcomes and Measures:</w:t>
      </w:r>
      <w:r>
        <w:t xml:space="preserve"> </w:t>
      </w:r>
      <w:r>
        <w:t xml:space="preserve">The prevalence of dementia and MCI is XYZ and PDQ. Our algorithm shows poor agreement with consensus standard classifications (weighted kappa = 0.33), but this is due to difficulties in reaching agreement regarding mild cognitive impairment, and the agreement statistic is excellent for dementia versus less impaired cognition (kappa = 0.77).</w:t>
      </w:r>
      <w:r>
        <w:t xml:space="preserve"> </w:t>
      </w:r>
      <w:r>
        <w:rPr>
          <w:b/>
          <w:bCs/>
        </w:rPr>
        <w:t xml:space="preserve">Conclusions:</w:t>
      </w:r>
      <w:r>
        <w:t xml:space="preserve"> </w:t>
      </w:r>
      <w:r>
        <w:t xml:space="preserve">The new algorithm shows very promising validity evidence for dementia classification in the HRS. The accurate classification of MCI remains a challenge in field research settings.</w:t>
      </w:r>
    </w:p>
    <w:p>
      <w:r>
        <w:br w:type="page"/>
      </w:r>
    </w:p>
    <w:bookmarkStart w:id="26" w:name="outline"/>
    <w:p>
      <w:pPr>
        <w:pStyle w:val="Heading1"/>
      </w:pPr>
      <w:r>
        <w:t xml:space="preserve">Outline</w:t>
      </w:r>
    </w:p>
    <w:bookmarkStart w:id="21" w:name="introduction"/>
    <w:p>
      <w:pPr>
        <w:pStyle w:val="Heading2"/>
      </w:pPr>
      <w:r>
        <w:t xml:space="preserve">Introduction</w:t>
      </w:r>
    </w:p>
    <w:p>
      <w:pPr>
        <w:pStyle w:val="Compact"/>
        <w:numPr>
          <w:ilvl w:val="0"/>
          <w:numId w:val="1001"/>
        </w:numPr>
      </w:pPr>
      <w:r>
        <w:t xml:space="preserve">Overview of dementia, mild cognitive impairment (MCI), and field studies</w:t>
      </w:r>
      <w:r>
        <w:br/>
      </w:r>
    </w:p>
    <w:p>
      <w:pPr>
        <w:pStyle w:val="Compact"/>
        <w:numPr>
          <w:ilvl w:val="0"/>
          <w:numId w:val="1001"/>
        </w:numPr>
      </w:pPr>
      <w:r>
        <w:t xml:space="preserve">Health and Retirement Study (HRS) approaches:</w:t>
      </w:r>
    </w:p>
    <w:p>
      <w:pPr>
        <w:pStyle w:val="Compact"/>
        <w:numPr>
          <w:ilvl w:val="1"/>
          <w:numId w:val="1002"/>
        </w:numPr>
      </w:pPr>
      <w:r>
        <w:t xml:space="preserve">Langa-Weir: count-and-cut method</w:t>
      </w:r>
      <w:r>
        <w:br/>
      </w:r>
    </w:p>
    <w:p>
      <w:pPr>
        <w:pStyle w:val="Compact"/>
        <w:numPr>
          <w:ilvl w:val="1"/>
          <w:numId w:val="1002"/>
        </w:numPr>
      </w:pPr>
      <w:r>
        <w:t xml:space="preserve">Hurd &amp; Hudomiet: predictive models</w:t>
      </w:r>
      <w:r>
        <w:br/>
      </w:r>
    </w:p>
    <w:p>
      <w:pPr>
        <w:pStyle w:val="Compact"/>
        <w:numPr>
          <w:ilvl w:val="1"/>
          <w:numId w:val="1002"/>
        </w:numPr>
      </w:pPr>
      <w:r>
        <w:t xml:space="preserve">HCAP: actuarial classification</w:t>
      </w:r>
      <w:r>
        <w:rPr>
          <w:rStyle w:val="FootnoteReference"/>
        </w:rPr>
        <w:footnoteReference w:id="20"/>
      </w:r>
      <w:r>
        <w:br/>
      </w:r>
    </w:p>
    <w:p>
      <w:pPr>
        <w:pStyle w:val="Compact"/>
        <w:numPr>
          <w:ilvl w:val="0"/>
          <w:numId w:val="1001"/>
        </w:numPr>
      </w:pPr>
      <w:r>
        <w:t xml:space="preserve">This study develops a new actuarial classification using only Core HRS measures, following Manly et al. (2022)</w:t>
      </w:r>
      <w:r>
        <w:br/>
      </w:r>
    </w:p>
    <w:p>
      <w:pPr>
        <w:pStyle w:val="Compact"/>
        <w:numPr>
          <w:ilvl w:val="0"/>
          <w:numId w:val="1001"/>
        </w:numPr>
      </w:pPr>
      <w:r>
        <w:t xml:space="preserve">We describe:</w:t>
      </w:r>
    </w:p>
    <w:p>
      <w:pPr>
        <w:pStyle w:val="Compact"/>
        <w:numPr>
          <w:ilvl w:val="1"/>
          <w:numId w:val="1003"/>
        </w:numPr>
      </w:pPr>
      <w:r>
        <w:t xml:space="preserve">The derivation and validation of the new classification</w:t>
      </w:r>
      <w:r>
        <w:br/>
      </w:r>
    </w:p>
    <w:p>
      <w:pPr>
        <w:pStyle w:val="Compact"/>
        <w:numPr>
          <w:ilvl w:val="1"/>
          <w:numId w:val="1003"/>
        </w:numPr>
      </w:pPr>
      <w:r>
        <w:t xml:space="preserve">The prevalence of dementia and MCI in the Core HRS sample</w:t>
      </w:r>
    </w:p>
    <w:bookmarkEnd w:id="21"/>
    <w:bookmarkStart w:id="22" w:name="methods"/>
    <w:p>
      <w:pPr>
        <w:pStyle w:val="Heading2"/>
      </w:pPr>
      <w:r>
        <w:t xml:space="preserve">Methods</w:t>
      </w:r>
    </w:p>
    <w:p>
      <w:pPr>
        <w:pStyle w:val="Compact"/>
        <w:numPr>
          <w:ilvl w:val="0"/>
          <w:numId w:val="1004"/>
        </w:numPr>
      </w:pPr>
      <w:r>
        <w:t xml:space="preserve">Sample: HRS &amp; HCAP subsample (N = 2,993)</w:t>
      </w:r>
    </w:p>
    <w:p>
      <w:pPr>
        <w:pStyle w:val="Compact"/>
        <w:numPr>
          <w:ilvl w:val="1"/>
          <w:numId w:val="1005"/>
        </w:numPr>
      </w:pPr>
      <w:r>
        <w:t xml:space="preserve">Rationale and construction of the HRS/HCAP Normative Reference Group</w:t>
      </w:r>
      <w:r>
        <w:br/>
      </w:r>
    </w:p>
    <w:p>
      <w:pPr>
        <w:pStyle w:val="Compact"/>
        <w:numPr>
          <w:ilvl w:val="1"/>
          <w:numId w:val="1005"/>
        </w:numPr>
      </w:pPr>
      <w:r>
        <w:t xml:space="preserve">Validation subsample within HRS/HCAP</w:t>
      </w:r>
      <w:r>
        <w:br/>
      </w:r>
    </w:p>
    <w:p>
      <w:pPr>
        <w:pStyle w:val="Compact"/>
        <w:numPr>
          <w:ilvl w:val="0"/>
          <w:numId w:val="1004"/>
        </w:numPr>
      </w:pPr>
      <w:r>
        <w:t xml:space="preserve">Cognitive and functional measures</w:t>
      </w:r>
      <w:r>
        <w:br/>
      </w:r>
    </w:p>
    <w:p>
      <w:pPr>
        <w:pStyle w:val="Compact"/>
        <w:numPr>
          <w:ilvl w:val="0"/>
          <w:numId w:val="1004"/>
        </w:numPr>
      </w:pPr>
      <w:r>
        <w:t xml:space="preserve">Brief description of derivation of actuarial algorithm (full details in Appendix 1)</w:t>
      </w:r>
      <w:r>
        <w:br/>
      </w:r>
    </w:p>
    <w:p>
      <w:pPr>
        <w:pStyle w:val="Compact"/>
        <w:numPr>
          <w:ilvl w:val="0"/>
          <w:numId w:val="1004"/>
        </w:numPr>
      </w:pPr>
      <w:r>
        <w:t xml:space="preserve">Methods for assessing agreement with comparator measures</w:t>
      </w:r>
      <w:r>
        <w:br/>
      </w:r>
    </w:p>
    <w:p>
      <w:pPr>
        <w:pStyle w:val="Compact"/>
        <w:numPr>
          <w:ilvl w:val="0"/>
          <w:numId w:val="1004"/>
        </w:numPr>
      </w:pPr>
      <w:r>
        <w:t xml:space="preserve">Prevalence estimation procedures</w:t>
      </w:r>
    </w:p>
    <w:bookmarkEnd w:id="22"/>
    <w:bookmarkStart w:id="23" w:name="results"/>
    <w:p>
      <w:pPr>
        <w:pStyle w:val="Heading2"/>
      </w:pPr>
      <w:r>
        <w:t xml:space="preserve">Results</w:t>
      </w:r>
    </w:p>
    <w:p>
      <w:pPr>
        <w:pStyle w:val="Compact"/>
        <w:numPr>
          <w:ilvl w:val="0"/>
          <w:numId w:val="1006"/>
        </w:numPr>
      </w:pPr>
      <w:r>
        <w:rPr>
          <w:b/>
          <w:bCs/>
        </w:rPr>
        <w:t xml:space="preserve">Figure 1</w:t>
      </w:r>
      <w:r>
        <w:t xml:space="preserve">: Schematic of algorithm</w:t>
      </w:r>
      <w:r>
        <w:br/>
      </w:r>
    </w:p>
    <w:p>
      <w:pPr>
        <w:pStyle w:val="Compact"/>
        <w:numPr>
          <w:ilvl w:val="0"/>
          <w:numId w:val="1006"/>
        </w:numPr>
      </w:pPr>
      <w:r>
        <w:rPr>
          <w:b/>
          <w:bCs/>
        </w:rPr>
        <w:t xml:space="preserve">Table 1</w:t>
      </w:r>
      <w:r>
        <w:t xml:space="preserve">: Participant characteristics (N = 20,912; subsample N = 2,993)</w:t>
      </w:r>
      <w:r>
        <w:br/>
      </w:r>
    </w:p>
    <w:p>
      <w:pPr>
        <w:pStyle w:val="Compact"/>
        <w:numPr>
          <w:ilvl w:val="0"/>
          <w:numId w:val="1006"/>
        </w:numPr>
      </w:pPr>
      <w:r>
        <w:rPr>
          <w:b/>
          <w:bCs/>
        </w:rPr>
        <w:t xml:space="preserve">Table 2</w:t>
      </w:r>
      <w:r>
        <w:t xml:space="preserve">: Descriptive statistics (cognitive, functional, self-report, proxy measures)</w:t>
      </w:r>
      <w:r>
        <w:br/>
      </w:r>
    </w:p>
    <w:p>
      <w:pPr>
        <w:pStyle w:val="Compact"/>
        <w:numPr>
          <w:ilvl w:val="0"/>
          <w:numId w:val="1006"/>
        </w:numPr>
      </w:pPr>
      <w:r>
        <w:rPr>
          <w:b/>
          <w:bCs/>
        </w:rPr>
        <w:t xml:space="preserve">Table 3</w:t>
      </w:r>
      <w:r>
        <w:t xml:space="preserve">: Reliability and validity</w:t>
      </w:r>
    </w:p>
    <w:p>
      <w:pPr>
        <w:pStyle w:val="Compact"/>
        <w:numPr>
          <w:ilvl w:val="1"/>
          <w:numId w:val="1007"/>
        </w:numPr>
      </w:pPr>
      <w:r>
        <w:t xml:space="preserve">HRS/HCAP validation sample (N = 50), 3-category weighted kappa: κ = 0.33</w:t>
      </w:r>
      <w:r>
        <w:br/>
      </w:r>
    </w:p>
    <w:p>
      <w:pPr>
        <w:pStyle w:val="Compact"/>
        <w:numPr>
          <w:ilvl w:val="1"/>
          <w:numId w:val="1007"/>
        </w:numPr>
      </w:pPr>
      <w:r>
        <w:t xml:space="preserve">HRS/HCAP actuarial classification (N = 2,992): κ = 0.51</w:t>
      </w:r>
      <w:r>
        <w:br/>
      </w:r>
    </w:p>
    <w:p>
      <w:pPr>
        <w:pStyle w:val="Compact"/>
        <w:numPr>
          <w:ilvl w:val="1"/>
          <w:numId w:val="1007"/>
        </w:numPr>
      </w:pPr>
      <w:r>
        <w:t xml:space="preserve">HRS Langa-Weir classification (N = 2,992): κ = 0.57</w:t>
      </w:r>
      <w:r>
        <w:br/>
      </w:r>
    </w:p>
    <w:p>
      <w:pPr>
        <w:pStyle w:val="Compact"/>
        <w:numPr>
          <w:ilvl w:val="1"/>
          <w:numId w:val="1007"/>
        </w:numPr>
      </w:pPr>
      <w:r>
        <w:t xml:space="preserve">Hurd model (N = 2,992): [to be added]</w:t>
      </w:r>
      <w:r>
        <w:br/>
      </w:r>
    </w:p>
    <w:p>
      <w:pPr>
        <w:pStyle w:val="Compact"/>
        <w:numPr>
          <w:ilvl w:val="1"/>
          <w:numId w:val="1007"/>
        </w:numPr>
      </w:pPr>
      <w:r>
        <w:t xml:space="preserve">Hudomiet model (N = 2,992): [to be added]</w:t>
      </w:r>
      <w:r>
        <w:br/>
      </w:r>
    </w:p>
    <w:p>
      <w:pPr>
        <w:pStyle w:val="Compact"/>
        <w:numPr>
          <w:ilvl w:val="1"/>
          <w:numId w:val="1007"/>
        </w:numPr>
      </w:pPr>
      <w:r>
        <w:t xml:space="preserve">Dementia vs. non-dementia classification (validation sample, N = 50): κ = 0.77</w:t>
      </w:r>
      <w:r>
        <w:br/>
      </w:r>
    </w:p>
    <w:p>
      <w:pPr>
        <w:pStyle w:val="Compact"/>
        <w:numPr>
          <w:ilvl w:val="0"/>
          <w:numId w:val="1006"/>
        </w:numPr>
      </w:pPr>
      <w:r>
        <w:rPr>
          <w:b/>
          <w:bCs/>
        </w:rPr>
        <w:t xml:space="preserve">Table 4</w:t>
      </w:r>
      <w:r>
        <w:t xml:space="preserve">: Participant characteristics by diagnostic group</w:t>
      </w:r>
    </w:p>
    <w:bookmarkEnd w:id="23"/>
    <w:bookmarkStart w:id="24" w:name="discussion"/>
    <w:p>
      <w:pPr>
        <w:pStyle w:val="Heading2"/>
      </w:pPr>
      <w:r>
        <w:t xml:space="preserve">Discussion</w:t>
      </w:r>
    </w:p>
    <w:p>
      <w:pPr>
        <w:pStyle w:val="Compact"/>
        <w:numPr>
          <w:ilvl w:val="0"/>
          <w:numId w:val="1008"/>
        </w:numPr>
      </w:pPr>
      <w:r>
        <w:t xml:space="preserve">Three-way agreement (normal, MCI, dementia) is poor-to-fair across classifications</w:t>
      </w:r>
      <w:r>
        <w:br/>
      </w:r>
    </w:p>
    <w:p>
      <w:pPr>
        <w:pStyle w:val="Compact"/>
        <w:numPr>
          <w:ilvl w:val="0"/>
          <w:numId w:val="1008"/>
        </w:numPr>
      </w:pPr>
      <w:r>
        <w:t xml:space="preserve">Binary agreement for dementia diagnosis with HRS/HCAP consensus panel is excellent (κ = 0.77)</w:t>
      </w:r>
      <w:r>
        <w:br/>
      </w:r>
    </w:p>
    <w:p>
      <w:pPr>
        <w:pStyle w:val="Compact"/>
        <w:numPr>
          <w:ilvl w:val="0"/>
          <w:numId w:val="1008"/>
        </w:numPr>
      </w:pPr>
      <w:r>
        <w:t xml:space="preserve">Comparison with previous methods: Langa-Weir, Hurd, Hudomiet, Graves (NACC), Kasper (NHATS/ADAMS)</w:t>
      </w:r>
      <w:r>
        <w:br/>
      </w:r>
    </w:p>
    <w:p>
      <w:pPr>
        <w:pStyle w:val="Compact"/>
        <w:numPr>
          <w:ilvl w:val="0"/>
          <w:numId w:val="1008"/>
        </w:numPr>
      </w:pPr>
      <w:r>
        <w:t xml:space="preserve">Strengths:</w:t>
      </w:r>
    </w:p>
    <w:p>
      <w:pPr>
        <w:pStyle w:val="Compact"/>
        <w:numPr>
          <w:ilvl w:val="1"/>
          <w:numId w:val="1009"/>
        </w:numPr>
      </w:pPr>
      <w:r>
        <w:t xml:space="preserve">Large representative sample</w:t>
      </w:r>
      <w:r>
        <w:br/>
      </w:r>
    </w:p>
    <w:p>
      <w:pPr>
        <w:pStyle w:val="Compact"/>
        <w:numPr>
          <w:ilvl w:val="1"/>
          <w:numId w:val="1009"/>
        </w:numPr>
      </w:pPr>
      <w:r>
        <w:t xml:space="preserve">Rigorously defined normative reference group</w:t>
      </w:r>
      <w:r>
        <w:br/>
      </w:r>
    </w:p>
    <w:p>
      <w:pPr>
        <w:pStyle w:val="Compact"/>
        <w:numPr>
          <w:ilvl w:val="1"/>
          <w:numId w:val="1009"/>
        </w:numPr>
      </w:pPr>
      <w:r>
        <w:t xml:space="preserve">Access to a reference standard diagnosis in a field study is rare</w:t>
      </w:r>
      <w:r>
        <w:br/>
      </w:r>
    </w:p>
    <w:p>
      <w:pPr>
        <w:pStyle w:val="Compact"/>
        <w:numPr>
          <w:ilvl w:val="0"/>
          <w:numId w:val="1008"/>
        </w:numPr>
      </w:pPr>
      <w:r>
        <w:t xml:space="preserve">Limitations:</w:t>
      </w:r>
    </w:p>
    <w:p>
      <w:pPr>
        <w:pStyle w:val="Compact"/>
        <w:numPr>
          <w:ilvl w:val="1"/>
          <w:numId w:val="1010"/>
        </w:numPr>
      </w:pPr>
      <w:r>
        <w:t xml:space="preserve">Small validation sample (N = 50)</w:t>
      </w:r>
      <w:r>
        <w:br/>
      </w:r>
    </w:p>
    <w:p>
      <w:pPr>
        <w:pStyle w:val="Compact"/>
        <w:numPr>
          <w:ilvl w:val="0"/>
          <w:numId w:val="1008"/>
        </w:numPr>
      </w:pPr>
      <w:r>
        <w:t xml:space="preserve">Implications for future research</w:t>
      </w:r>
    </w:p>
    <w:bookmarkEnd w:id="24"/>
    <w:bookmarkStart w:id="25" w:name="appendices"/>
    <w:p>
      <w:pPr>
        <w:pStyle w:val="Heading2"/>
      </w:pPr>
      <w:r>
        <w:t xml:space="preserve">Appendices</w:t>
      </w:r>
    </w:p>
    <w:p>
      <w:pPr>
        <w:pStyle w:val="Compact"/>
        <w:numPr>
          <w:ilvl w:val="0"/>
          <w:numId w:val="1011"/>
        </w:numPr>
      </w:pPr>
      <w:r>
        <w:t xml:space="preserve">Appendix 1: Derivation of the actuarial algorithm</w:t>
      </w:r>
    </w:p>
    <w:p>
      <w:r>
        <w:br w:type="page"/>
      </w:r>
    </w:p>
    <w:p>
      <w:pPr>
        <w:pStyle w:val="FirstParagraph"/>
      </w:pPr>
      <w:r>
        <w:rPr>
          <w:b/>
          <w:bCs/>
        </w:rPr>
        <w:t xml:space="preserve">How well do we do compared to reference standard diagnoses × other classification systems?</w:t>
      </w:r>
    </w:p>
    <w:p>
      <w:pPr>
        <w:pStyle w:val="BodyText"/>
      </w:pPr>
      <w:r>
        <w:t xml:space="preserve">This is for the discussion. The comparisons below tell me that</w:t>
      </w:r>
      <w:r>
        <w:t xml:space="preserve"> </w:t>
      </w:r>
      <w:r>
        <w:rPr>
          <w:i/>
          <w:iCs/>
        </w:rPr>
        <w:t xml:space="preserve">the HRS/HCAP actuarial classification as reported in Farron et al (2025) is really good</w:t>
      </w:r>
      <w:r>
        <w:t xml:space="preserve"> </w:t>
      </w:r>
      <w:r>
        <w:t xml:space="preserve">(very adequate for research (&gt;=.60 target); almost good enough for diagnostic decision making (&gt;=0.80 target); Farron et al (2025) report a confidence interval of 0.49 to 0.91, so adequacy for diagnostic decision making is not out of the question for the HRS/HCAP algorithm), but that is not the point of this paper.</w:t>
      </w:r>
    </w:p>
    <w:p>
      <w:pPr>
        <w:pStyle w:val="BodyText"/>
      </w:pPr>
      <w:r>
        <w:t xml:space="preserve">For this paper, the</w:t>
      </w:r>
      <w:r>
        <w:t xml:space="preserve"> </w:t>
      </w:r>
      <w:r>
        <w:rPr>
          <w:b/>
          <w:bCs/>
        </w:rPr>
        <w:t xml:space="preserve">HRS Core</w:t>
      </w:r>
      <w:r>
        <w:t xml:space="preserve"> </w:t>
      </w:r>
      <w:r>
        <w:t xml:space="preserve">actuarial classification, the 3-way, with weighted kappa of 0.33, is not good at all relative to other algorithms. But, the classification of dementia vs MCI or Normal is excellent in the HRS Core,</w:t>
      </w:r>
      <w:r>
        <w:t xml:space="preserve"> </w:t>
      </w:r>
      <w:r>
        <w:rPr>
          <w:b/>
          <w:bCs/>
          <w:i/>
          <w:iCs/>
        </w:rPr>
        <w:t xml:space="preserve">so far the best we have seen</w:t>
      </w:r>
      <w:r>
        <w:t xml:space="preserve"> </w:t>
      </w:r>
      <w:r>
        <w:t xml:space="preserve">among field survey validation exercises, with a weighted kappa of 0.77, and positive predictive value of 0.70, and sensitivity of 0.83. Still forthcoming is the comparison with the Langa-Weir classification, and the Hurd and Hudomiet classifications. Regardless, the HRS Core actuarial classification is not very good at classifying MCI, and the problem is distinguishing MCI from Normal, not distinguishing MCI from Dementia.</w:t>
      </w:r>
      <w:r>
        <w:t xml:space="preserve"> </w:t>
      </w:r>
      <w:r>
        <w:rPr>
          <w:b/>
          <w:bCs/>
          <w:i/>
          <w:iCs/>
        </w:rPr>
        <w:t xml:space="preserve">Maybe including PD101 in the self-concerns was a mistake, we’ll have to look at that.</w:t>
      </w:r>
      <w:r>
        <w:t xml:space="preserve"> </w:t>
      </w:r>
      <w:r>
        <w:t xml:space="preserve">See Table 3.1 in the tables and figures attachment.</w:t>
      </w:r>
    </w:p>
    <w:tbl>
      <w:tblPr>
        <w:tblStyle w:val="Table"/>
        <w:tblW w:type="pct" w:w="5000"/>
        <w:tblLayout w:type="fixed"/>
        <w:tblLook w:firstRow="1" w:lastRow="0" w:firstColumn="0" w:lastColumn="0" w:noHBand="0" w:noVBand="0" w:val="0020"/>
      </w:tblPr>
      <w:tblGrid>
        <w:gridCol w:w="1489"/>
        <w:gridCol w:w="1646"/>
        <w:gridCol w:w="1568"/>
        <w:gridCol w:w="1881"/>
        <w:gridCol w:w="1333"/>
      </w:tblGrid>
      <w:tr>
        <w:trPr>
          <w:tblHeader w:val="on"/>
        </w:trPr>
        <w:tc>
          <w:tcPr/>
          <w:p>
            <w:pPr>
              <w:pStyle w:val="Compact"/>
              <w:jc w:val="left"/>
            </w:pPr>
            <w:r>
              <w:rPr>
                <w:b/>
                <w:bCs/>
              </w:rPr>
              <w:t xml:space="preserve">Source</w:t>
            </w:r>
          </w:p>
        </w:tc>
        <w:tc>
          <w:tcPr/>
          <w:p>
            <w:pPr>
              <w:pStyle w:val="Compact"/>
              <w:jc w:val="left"/>
            </w:pPr>
            <w:r>
              <w:rPr>
                <w:b/>
                <w:bCs/>
              </w:rPr>
              <w:t xml:space="preserve">Sample, N</w:t>
            </w:r>
          </w:p>
        </w:tc>
        <w:tc>
          <w:tcPr/>
          <w:p>
            <w:pPr>
              <w:pStyle w:val="Compact"/>
              <w:jc w:val="left"/>
            </w:pPr>
            <w:r>
              <w:rPr>
                <w:b/>
                <w:bCs/>
              </w:rPr>
              <w:t xml:space="preserve">Classification</w:t>
            </w:r>
          </w:p>
        </w:tc>
        <w:tc>
          <w:tcPr/>
          <w:p>
            <w:pPr>
              <w:pStyle w:val="Compact"/>
              <w:jc w:val="left"/>
            </w:pPr>
            <w:r>
              <w:rPr>
                <w:b/>
                <w:bCs/>
              </w:rPr>
              <w:t xml:space="preserve">Criterion</w:t>
            </w:r>
          </w:p>
        </w:tc>
        <w:tc>
          <w:tcPr/>
          <w:p>
            <w:pPr>
              <w:pStyle w:val="Compact"/>
              <w:jc w:val="center"/>
            </w:pPr>
            <w:r>
              <w:rPr>
                <w:b/>
                <w:bCs/>
              </w:rPr>
              <w:t xml:space="preserve">Statistic</w:t>
            </w:r>
          </w:p>
        </w:tc>
      </w:tr>
      <w:tr>
        <w:tc>
          <w:tcPr/>
          <w:p>
            <w:pPr>
              <w:pStyle w:val="Compact"/>
              <w:jc w:val="left"/>
            </w:pPr>
            <w:r>
              <w:rPr>
                <w:b/>
                <w:bCs/>
              </w:rPr>
              <w:t xml:space="preserve">3-way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Farron et al (2025)</w:t>
            </w:r>
          </w:p>
        </w:tc>
        <w:tc>
          <w:tcPr/>
          <w:p>
            <w:pPr>
              <w:pStyle w:val="Compact"/>
              <w:jc w:val="left"/>
            </w:pPr>
            <w:r>
              <w:t xml:space="preserve">HRS/HCAP validation (N=50)</w:t>
            </w:r>
          </w:p>
        </w:tc>
        <w:tc>
          <w:tcPr/>
          <w:p>
            <w:pPr>
              <w:pStyle w:val="Compact"/>
              <w:jc w:val="left"/>
            </w:pPr>
            <w:r>
              <w:t xml:space="preserve">Normal, MCI, Dementia (actuarial)</w:t>
            </w:r>
          </w:p>
        </w:tc>
        <w:tc>
          <w:tcPr/>
          <w:p>
            <w:pPr>
              <w:pStyle w:val="Compact"/>
              <w:jc w:val="left"/>
            </w:pPr>
            <w:r>
              <w:t xml:space="preserve">HCAP Consensus Panel</w:t>
            </w:r>
          </w:p>
        </w:tc>
        <w:tc>
          <w:tcPr/>
          <w:p>
            <w:pPr>
              <w:pStyle w:val="Compact"/>
              <w:jc w:val="center"/>
            </w:pPr>
            <m:oMath>
              <m:sSub>
                <m:e>
                  <m:r>
                    <m:t>κ</m:t>
                  </m:r>
                </m:e>
                <m:sub>
                  <m:r>
                    <m:t>w</m:t>
                  </m:r>
                </m:sub>
              </m:sSub>
            </m:oMath>
            <w:r>
              <w:t xml:space="preserve"> </w:t>
            </w:r>
            <w:r>
              <w:t xml:space="preserve">=0.75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Kasper et al (2013)</w:t>
            </w:r>
          </w:p>
        </w:tc>
        <w:tc>
          <w:tcPr/>
          <w:p>
            <w:pPr>
              <w:pStyle w:val="Compact"/>
              <w:jc w:val="left"/>
            </w:pPr>
            <w:r>
              <w:t xml:space="preserve">ADAMS subsample (N=121)</w:t>
            </w:r>
          </w:p>
        </w:tc>
        <w:tc>
          <w:tcPr/>
          <w:p>
            <w:pPr>
              <w:pStyle w:val="Compact"/>
              <w:jc w:val="left"/>
            </w:pPr>
            <w:r>
              <w:t xml:space="preserve">Probable, Possible, Unlikely Dementia (NHATS algorithm)</w:t>
            </w:r>
          </w:p>
        </w:tc>
        <w:tc>
          <w:tcPr/>
          <w:p>
            <w:pPr>
              <w:pStyle w:val="Compact"/>
              <w:jc w:val="left"/>
            </w:pPr>
            <w:r>
              <w:t xml:space="preserve">ADAMS Consensus diagnoses</w:t>
            </w:r>
          </w:p>
        </w:tc>
        <w:tc>
          <w:tcPr/>
          <w:p>
            <w:pPr>
              <w:pStyle w:val="Compact"/>
              <w:jc w:val="center"/>
            </w:pPr>
            <m:oMath>
              <m:sSub>
                <m:e>
                  <m:r>
                    <m:t>κ</m:t>
                  </m:r>
                </m:e>
                <m:sub>
                  <m:r>
                    <m:t>w</m:t>
                  </m:r>
                </m:sub>
              </m:sSub>
            </m:oMath>
            <w:r>
              <w:t xml:space="preserve"> </w:t>
            </w:r>
            <w:r>
              <w:t xml:space="preserve">=0.67</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Graves et al (2020)</w:t>
            </w:r>
          </w:p>
        </w:tc>
        <w:tc>
          <w:tcPr/>
          <w:p>
            <w:pPr>
              <w:pStyle w:val="Compact"/>
              <w:jc w:val="left"/>
            </w:pPr>
            <w:r>
              <w:t xml:space="preserve">NACC (N=1524)</w:t>
            </w:r>
          </w:p>
        </w:tc>
        <w:tc>
          <w:tcPr/>
          <w:p>
            <w:pPr>
              <w:pStyle w:val="Compact"/>
              <w:jc w:val="left"/>
            </w:pPr>
            <w:r>
              <w:t xml:space="preserve">Normal, MCI, Dementia (actuarial)</w:t>
            </w:r>
          </w:p>
        </w:tc>
        <w:tc>
          <w:tcPr/>
          <w:p>
            <w:pPr>
              <w:pStyle w:val="Compact"/>
              <w:jc w:val="left"/>
            </w:pPr>
            <w:r>
              <w:t xml:space="preserve">NACC Consensus diagnoses</w:t>
            </w:r>
          </w:p>
        </w:tc>
        <w:tc>
          <w:tcPr/>
          <w:p>
            <w:pPr>
              <w:pStyle w:val="Compact"/>
              <w:jc w:val="center"/>
            </w:pPr>
            <m:oMath>
              <m:sSub>
                <m:e>
                  <m:r>
                    <m:t>κ</m:t>
                  </m:r>
                </m:e>
                <m:sub>
                  <m:r>
                    <m:t>w</m:t>
                  </m:r>
                </m:sub>
              </m:sSub>
            </m:oMath>
            <w:r>
              <w:t xml:space="preserve"> </w:t>
            </w:r>
            <w:r>
              <w:t xml:space="preserve">=0.54</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Normal, MCI, Dementia (actuarial)</w:t>
            </w:r>
          </w:p>
        </w:tc>
        <w:tc>
          <w:tcPr/>
          <w:p>
            <w:pPr>
              <w:pStyle w:val="Compact"/>
              <w:jc w:val="left"/>
            </w:pPr>
            <w:r>
              <w:t xml:space="preserve">HRS/HCAP Consensus Panel</w:t>
            </w:r>
          </w:p>
        </w:tc>
        <w:tc>
          <w:tcPr/>
          <w:p>
            <w:pPr>
              <w:pStyle w:val="Compact"/>
              <w:jc w:val="center"/>
            </w:pPr>
            <m:oMath>
              <m:sSub>
                <m:e>
                  <m:r>
                    <m:t>κ</m:t>
                  </m:r>
                </m:e>
                <m:sub>
                  <m:r>
                    <m:t>w</m:t>
                  </m:r>
                </m:sub>
              </m:sSub>
            </m:oMath>
            <w:r>
              <w:t xml:space="preserve"> </w:t>
            </w:r>
            <w:r>
              <w:t xml:space="preserve">=0.33</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Normal, MCI, Dementia (Langa-Weir)</w:t>
            </w:r>
          </w:p>
        </w:tc>
        <w:tc>
          <w:tcPr/>
          <w:p>
            <w:pPr>
              <w:pStyle w:val="Compact"/>
              <w:jc w:val="left"/>
            </w:pPr>
            <w:r>
              <w:t xml:space="preserve">HRS/HCAP Consensus Panel</w:t>
            </w:r>
          </w:p>
        </w:tc>
        <w:tc>
          <w:tcPr/>
          <w:p>
            <w:pPr>
              <w:pStyle w:val="Compact"/>
              <w:jc w:val="center"/>
            </w:pPr>
            <m:oMath>
              <m:sSub>
                <m:e>
                  <m:r>
                    <m:t>κ</m:t>
                  </m:r>
                </m:e>
                <m:sub>
                  <m:r>
                    <m:t>w</m:t>
                  </m:r>
                </m:sub>
              </m:sSub>
            </m:oMath>
            <w:r>
              <w:t xml:space="preserve"> </w:t>
            </w:r>
            <w:r>
              <w:t xml:space="preserve">=?</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
                <w:bCs/>
              </w:rPr>
              <w:t xml:space="preserve">2-way (dementia)</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Dementia (actuarial)</w:t>
            </w:r>
          </w:p>
        </w:tc>
        <w:tc>
          <w:tcPr/>
          <w:p>
            <w:pPr>
              <w:pStyle w:val="Compact"/>
              <w:jc w:val="left"/>
            </w:pPr>
            <w:r>
              <w:t xml:space="preserve">HRS/HCAP Consensus</w:t>
            </w:r>
          </w:p>
        </w:tc>
        <w:tc>
          <w:tcPr/>
          <w:p>
            <w:pPr>
              <w:pStyle w:val="Compact"/>
              <w:jc w:val="center"/>
            </w:pPr>
            <m:oMath>
              <m:r>
                <m:t>κ</m:t>
              </m:r>
            </m:oMath>
            <w:r>
              <w:t xml:space="preserve"> </w:t>
            </w:r>
            <w:r>
              <w:t xml:space="preserve">=0.77</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PPV=0.70</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SN=0.83</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Graves et al (2020)</w:t>
            </w:r>
          </w:p>
        </w:tc>
        <w:tc>
          <w:tcPr/>
          <w:p>
            <w:pPr>
              <w:pStyle w:val="Compact"/>
              <w:jc w:val="left"/>
            </w:pPr>
            <w:r>
              <w:t xml:space="preserve">NACC (N=1524)</w:t>
            </w:r>
          </w:p>
        </w:tc>
        <w:tc>
          <w:tcPr/>
          <w:p>
            <w:pPr>
              <w:pStyle w:val="Compact"/>
              <w:jc w:val="left"/>
            </w:pPr>
            <w:r>
              <w:t xml:space="preserve">Dementia (actuarial)</w:t>
            </w:r>
          </w:p>
        </w:tc>
        <w:tc>
          <w:tcPr/>
          <w:p>
            <w:pPr>
              <w:pStyle w:val="Compact"/>
              <w:jc w:val="left"/>
            </w:pPr>
            <w:r>
              <w:t xml:space="preserve">NACC Consensus</w:t>
            </w:r>
          </w:p>
        </w:tc>
        <w:tc>
          <w:tcPr/>
          <w:p>
            <w:pPr>
              <w:pStyle w:val="Compact"/>
              <w:jc w:val="center"/>
            </w:pPr>
            <m:oMath>
              <m:r>
                <m:t>κ</m:t>
              </m:r>
            </m:oMath>
            <w:r>
              <w:t xml:space="preserve"> </w:t>
            </w:r>
            <w:r>
              <w:t xml:space="preserve">=0.72</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PPV=0.43</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SN=0.96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Farron et al (2025)</w:t>
            </w:r>
          </w:p>
        </w:tc>
        <w:tc>
          <w:tcPr/>
          <w:p>
            <w:pPr>
              <w:pStyle w:val="Compact"/>
              <w:jc w:val="left"/>
            </w:pPr>
            <w:r>
              <w:t xml:space="preserve">HRS/HCAP validation (N=50)</w:t>
            </w:r>
          </w:p>
        </w:tc>
        <w:tc>
          <w:tcPr/>
          <w:p>
            <w:pPr>
              <w:pStyle w:val="Compact"/>
              <w:jc w:val="left"/>
            </w:pPr>
            <w:r>
              <w:t xml:space="preserve">Dementia (actuarial)</w:t>
            </w:r>
          </w:p>
        </w:tc>
        <w:tc>
          <w:tcPr/>
          <w:p>
            <w:pPr>
              <w:pStyle w:val="Compact"/>
              <w:jc w:val="left"/>
            </w:pPr>
            <w:r>
              <w:t xml:space="preserve">HCAP Consensus</w:t>
            </w:r>
          </w:p>
        </w:tc>
        <w:tc>
          <w:tcPr/>
          <w:p>
            <w:pPr>
              <w:pStyle w:val="Compact"/>
              <w:jc w:val="center"/>
            </w:pPr>
            <m:oMath>
              <m:r>
                <m:t>κ</m:t>
              </m:r>
            </m:oMath>
            <w:r>
              <w:t xml:space="preserve"> </w:t>
            </w:r>
            <w:r>
              <w:t xml:space="preserve">=0.70</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PPV=0.57</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SN=0.96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Kasper et al (2013)</w:t>
            </w:r>
          </w:p>
        </w:tc>
        <w:tc>
          <w:tcPr/>
          <w:p>
            <w:pPr>
              <w:pStyle w:val="Compact"/>
              <w:jc w:val="left"/>
            </w:pPr>
            <w:r>
              <w:t xml:space="preserve">ADAMS subsample (N=121)</w:t>
            </w:r>
          </w:p>
        </w:tc>
        <w:tc>
          <w:tcPr/>
          <w:p>
            <w:pPr>
              <w:pStyle w:val="Compact"/>
              <w:jc w:val="left"/>
            </w:pPr>
            <w:r>
              <w:t xml:space="preserve">Probable dementia (NHATS algorithm)</w:t>
            </w:r>
          </w:p>
        </w:tc>
        <w:tc>
          <w:tcPr/>
          <w:p>
            <w:pPr>
              <w:pStyle w:val="Compact"/>
              <w:jc w:val="left"/>
            </w:pPr>
            <w:r>
              <w:t xml:space="preserve">ADAMS Consensus</w:t>
            </w:r>
          </w:p>
        </w:tc>
        <w:tc>
          <w:tcPr/>
          <w:p>
            <w:pPr>
              <w:pStyle w:val="Compact"/>
              <w:jc w:val="center"/>
            </w:pPr>
            <m:oMath>
              <m:r>
                <m:t>κ</m:t>
              </m:r>
            </m:oMath>
            <w:r>
              <w:t xml:space="preserve"> </w:t>
            </w:r>
            <w:r>
              <w:t xml:space="preserve">=0.53</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PPV=0.69</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SN=0.66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Dementia (Langa-Weir)</w:t>
            </w:r>
          </w:p>
        </w:tc>
        <w:tc>
          <w:tcPr/>
          <w:p>
            <w:pPr>
              <w:pStyle w:val="Compact"/>
              <w:jc w:val="left"/>
            </w:pPr>
            <w:r>
              <w:t xml:space="preserve">HRS/HCAP Consensus</w:t>
            </w:r>
          </w:p>
        </w:tc>
        <w:tc>
          <w:tcPr/>
          <w:p>
            <w:pPr>
              <w:pStyle w:val="Compact"/>
              <w:jc w:val="center"/>
            </w:pPr>
            <w:r>
              <w:t xml:space="preserve">?</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Dementia (Hurd)</w:t>
            </w:r>
          </w:p>
        </w:tc>
        <w:tc>
          <w:tcPr/>
          <w:p>
            <w:pPr>
              <w:pStyle w:val="Compact"/>
              <w:jc w:val="left"/>
            </w:pPr>
            <w:r>
              <w:t xml:space="preserve">HRS/HCAP Consensus</w:t>
            </w:r>
          </w:p>
        </w:tc>
        <w:tc>
          <w:tcPr/>
          <w:p>
            <w:pPr>
              <w:pStyle w:val="Compact"/>
              <w:jc w:val="center"/>
            </w:pPr>
            <w:r>
              <w:t xml:space="preserve">?</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Dementia (Hudomiet)</w:t>
            </w:r>
          </w:p>
        </w:tc>
        <w:tc>
          <w:tcPr/>
          <w:p>
            <w:pPr>
              <w:pStyle w:val="Compact"/>
              <w:jc w:val="left"/>
            </w:pPr>
            <w:r>
              <w:t xml:space="preserve">HRS/HCAP Consensus</w:t>
            </w:r>
          </w:p>
        </w:tc>
        <w:tc>
          <w:tcPr/>
          <w:p>
            <w:pPr>
              <w:pStyle w:val="Compact"/>
              <w:jc w:val="center"/>
            </w:pPr>
            <w:r>
              <w:t xml:space="preserve">?</w:t>
            </w:r>
          </w:p>
        </w:tc>
      </w:tr>
    </w:tbl>
    <w:p>
      <w:pPr>
        <w:pStyle w:val="BodyText"/>
      </w:pPr>
      <w:r>
        <w:t xml:space="preserve">The details of this table may need to be it’s own appendix. The data from Kasper et al (2013) and Graves et al (2020) are modified from their as-published form. Neither of these authors provide 3-way agreement statistics or confusion matrix. Graves was not a representative sample. I re-constructed 3-way agreement tables (confusion matrix) from the data provided by these authors, and for both re-weighted to estimated population marginal distributions for Normal, MCI, and Dementia with respect to their study’s reference standard diagnostic classification.</w:t>
      </w:r>
    </w:p>
    <w:p>
      <w:r>
        <w:br w:type="page"/>
      </w:r>
    </w:p>
    <w:p>
      <w:pPr>
        <w:pStyle w:val="BodyText"/>
      </w:pPr>
      <w:r>
        <w:t xml:space="preserve">Thanks for reading.</w:t>
      </w:r>
    </w:p>
    <w:bookmarkEnd w:id="25"/>
    <w:bookmarkEnd w:id="26"/>
    <w:sectPr w:rsidR="00C40BC6" w:rsidSect="0022135A">
      <w:footerReference r:id="rId10" w:type="even"/>
      <w:footerReference r:id="rId9" w:type="default"/>
      <w:footnotePr>
        <w:numRestart w:val="eachSect"/>
      </w:footnotePr>
      <w:pgSz w:h="15840" w:w="12226"/>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Excalifont">
    <w:panose1 w:val="00000000000000000000"/>
    <w:charset w:val="00"/>
    <w:family w:val="auto"/>
    <w:pitch w:val="variable"/>
    <w:sig w:usb0="A00002EF" w:usb1="4000004A"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7213190"/>
      <w:docPartObj>
        <w:docPartGallery w:val="Page Numbers (Bottom of Page)"/>
        <w:docPartUnique/>
      </w:docPartObj>
    </w:sdtPr>
    <w:sdtContent>
      <w:p w14:paraId="04BF0FDE" w14:textId="77777777" w:rsidR="000A2F4C" w:rsidRDefault="000A2F4C" w:rsidP="006F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C0CA5">
          <w:rPr>
            <w:rStyle w:val="PageNumber"/>
            <w:noProof/>
          </w:rPr>
          <w:t>17</w:t>
        </w:r>
        <w:r>
          <w:rPr>
            <w:rStyle w:val="PageNumber"/>
          </w:rPr>
          <w:fldChar w:fldCharType="end"/>
        </w:r>
      </w:p>
    </w:sdtContent>
  </w:sdt>
  <w:p w14:paraId="30D05F10" w14:textId="77777777" w:rsidR="000A2F4C" w:rsidRDefault="000A2F4C" w:rsidP="000A2F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5854564"/>
      <w:docPartObj>
        <w:docPartGallery w:val="Page Numbers (Bottom of Page)"/>
        <w:docPartUnique/>
      </w:docPartObj>
    </w:sdtPr>
    <w:sdtContent>
      <w:p w14:paraId="3B26B09A" w14:textId="77777777" w:rsidR="000A2F4C" w:rsidRDefault="000A2F4C" w:rsidP="006F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651E294" w14:textId="77777777" w:rsidR="000A2F4C" w:rsidRDefault="000A2F4C" w:rsidP="000A2F4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Jak and Bondi use the term</w:t>
      </w:r>
      <w:r>
        <w:t xml:space="preserve"> </w:t>
      </w:r>
      <w:r>
        <w:t xml:space="preserve">“actuarial diagnosis”</w:t>
      </w:r>
      <w:r>
        <w:t xml:space="preserve"> </w:t>
      </w:r>
      <w:r>
        <w:t xml:space="preserve">to describe a rule-based approach to classifying cognitive impairment based on objective neuropsychological test performance. The</w:t>
      </w:r>
      <w:r>
        <w:t xml:space="preserve"> </w:t>
      </w:r>
      <w:r>
        <w:t xml:space="preserve">“actuarial”</w:t>
      </w:r>
      <w:r>
        <w:t xml:space="preserve"> </w:t>
      </w:r>
      <w:r>
        <w:t xml:space="preserve">qualifier is used to set the method apart from classifications that rely on clinical judgment or consensus diagnosis, and emphasizes the method applies explicit decision rules that can be replicated and automated. This approach improves transparency and reliability, especially in research and population-based settings (Jak et al., 2009; Bondi &amp; Jak, 2014).</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7A3E2AAC"/>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2000072E"/>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00A992"/>
    <w:multiLevelType w:val="multilevel"/>
    <w:tmpl w:val="E744B444"/>
    <w:lvl w:ilvl="0">
      <w:numFmt w:val="bullet"/>
      <w:lvlText w:val="☐"/>
      <w:lvlJc w:val="left"/>
      <w:pPr>
        <w:ind w:hanging="360" w:left="720"/>
      </w:pPr>
    </w:lvl>
    <w:lvl w:ilvl="1">
      <w:numFmt w:val="bullet"/>
      <w:lvlText w:val="☐"/>
      <w:lvlJc w:val="left"/>
      <w:pPr>
        <w:ind w:hanging="360" w:left="1440"/>
      </w:pPr>
    </w:lvl>
    <w:lvl w:ilvl="2">
      <w:numFmt w:val="bullet"/>
      <w:lvlText w:val="☐"/>
      <w:lvlJc w:val="left"/>
      <w:pPr>
        <w:ind w:hanging="360" w:left="2160"/>
      </w:pPr>
    </w:lvl>
    <w:lvl w:ilvl="3">
      <w:numFmt w:val="bullet"/>
      <w:lvlText w:val="☐"/>
      <w:lvlJc w:val="left"/>
      <w:pPr>
        <w:ind w:hanging="360" w:left="2880"/>
      </w:pPr>
    </w:lvl>
    <w:lvl w:ilvl="4">
      <w:numFmt w:val="bullet"/>
      <w:lvlText w:val="☐"/>
      <w:lvlJc w:val="left"/>
      <w:pPr>
        <w:ind w:hanging="360" w:left="3600"/>
      </w:pPr>
    </w:lvl>
    <w:lvl w:ilvl="5">
      <w:numFmt w:val="bullet"/>
      <w:lvlText w:val="☐"/>
      <w:lvlJc w:val="left"/>
      <w:pPr>
        <w:ind w:hanging="360" w:left="4320"/>
      </w:pPr>
    </w:lvl>
    <w:lvl w:ilvl="6">
      <w:numFmt w:val="bullet"/>
      <w:lvlText w:val="☐"/>
      <w:lvlJc w:val="left"/>
      <w:pPr>
        <w:ind w:hanging="360" w:left="5040"/>
      </w:pPr>
    </w:lvl>
    <w:lvl w:ilvl="7">
      <w:numFmt w:val="bullet"/>
      <w:lvlText w:val="☐"/>
      <w:lvlJc w:val="left"/>
      <w:pPr>
        <w:ind w:hanging="360" w:left="5760"/>
      </w:pPr>
    </w:lvl>
    <w:lvl w:ilvl="8">
      <w:numFmt w:val="bullet"/>
      <w:lvlText w:val="☐"/>
      <w:lvlJc w:val="left"/>
      <w:pPr>
        <w:ind w:hanging="360" w:left="6480"/>
      </w:pPr>
    </w:lvl>
  </w:abstractNum>
  <w:abstractNum w15:restartNumberingAfterBreak="0" w:abstractNumId="3">
    <w:nsid w:val="0000A993"/>
    <w:multiLevelType w:val="multilevel"/>
    <w:tmpl w:val="5CC44E4A"/>
    <w:lvl w:ilvl="0">
      <w:numFmt w:val="bullet"/>
      <w:lvlText w:val="☒"/>
      <w:lvlJc w:val="left"/>
      <w:pPr>
        <w:ind w:hanging="360" w:left="720"/>
      </w:pPr>
    </w:lvl>
    <w:lvl w:ilvl="1">
      <w:numFmt w:val="bullet"/>
      <w:lvlText w:val="☒"/>
      <w:lvlJc w:val="left"/>
      <w:pPr>
        <w:ind w:hanging="360" w:left="1440"/>
      </w:pPr>
    </w:lvl>
    <w:lvl w:ilvl="2">
      <w:numFmt w:val="bullet"/>
      <w:lvlText w:val="☒"/>
      <w:lvlJc w:val="left"/>
      <w:pPr>
        <w:ind w:hanging="360" w:left="2160"/>
      </w:pPr>
    </w:lvl>
    <w:lvl w:ilvl="3">
      <w:numFmt w:val="bullet"/>
      <w:lvlText w:val="☒"/>
      <w:lvlJc w:val="left"/>
      <w:pPr>
        <w:ind w:hanging="360" w:left="2880"/>
      </w:pPr>
    </w:lvl>
    <w:lvl w:ilvl="4">
      <w:numFmt w:val="bullet"/>
      <w:lvlText w:val="☒"/>
      <w:lvlJc w:val="left"/>
      <w:pPr>
        <w:ind w:hanging="360" w:left="3600"/>
      </w:pPr>
    </w:lvl>
    <w:lvl w:ilvl="5">
      <w:numFmt w:val="bullet"/>
      <w:lvlText w:val="☒"/>
      <w:lvlJc w:val="left"/>
      <w:pPr>
        <w:ind w:hanging="360" w:left="4320"/>
      </w:pPr>
    </w:lvl>
    <w:lvl w:ilvl="6">
      <w:numFmt w:val="bullet"/>
      <w:lvlText w:val="☒"/>
      <w:lvlJc w:val="left"/>
      <w:pPr>
        <w:ind w:hanging="360" w:left="5040"/>
      </w:pPr>
    </w:lvl>
    <w:lvl w:ilvl="7">
      <w:numFmt w:val="bullet"/>
      <w:lvlText w:val="☒"/>
      <w:lvlJc w:val="left"/>
      <w:pPr>
        <w:ind w:hanging="360" w:left="5760"/>
      </w:pPr>
    </w:lvl>
    <w:lvl w:ilvl="8">
      <w:numFmt w:val="bullet"/>
      <w:lvlText w:val="☒"/>
      <w:lvlJc w:val="left"/>
      <w:pPr>
        <w:ind w:hanging="360" w:left="6480"/>
      </w:pPr>
    </w:lvl>
  </w:abstractNum>
  <w:abstractNum w15:restartNumberingAfterBreak="0" w:abstractNumId="4">
    <w:nsid w:val="00A99411"/>
    <w:multiLevelType w:val="multilevel"/>
    <w:tmpl w:val="92C06408"/>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5">
    <w:nsid w:val="00A99413"/>
    <w:multiLevelType w:val="multilevel"/>
    <w:tmpl w:val="8AEE4DC8"/>
    <w:lvl w:ilvl="0">
      <w:start w:val="3"/>
      <w:numFmt w:val="decimal"/>
      <w:lvlText w:val="%1."/>
      <w:lvlJc w:val="left"/>
      <w:pPr>
        <w:ind w:hanging="360" w:left="720"/>
      </w:pPr>
    </w:lvl>
    <w:lvl w:ilvl="1">
      <w:start w:val="3"/>
      <w:numFmt w:val="decimal"/>
      <w:lvlText w:val="%2."/>
      <w:lvlJc w:val="left"/>
      <w:pPr>
        <w:ind w:hanging="360" w:left="1440"/>
      </w:pPr>
    </w:lvl>
    <w:lvl w:ilvl="2">
      <w:start w:val="3"/>
      <w:numFmt w:val="decimal"/>
      <w:lvlText w:val="%3."/>
      <w:lvlJc w:val="left"/>
      <w:pPr>
        <w:ind w:hanging="360" w:left="2160"/>
      </w:pPr>
    </w:lvl>
    <w:lvl w:ilvl="3">
      <w:start w:val="3"/>
      <w:numFmt w:val="decimal"/>
      <w:lvlText w:val="%4."/>
      <w:lvlJc w:val="left"/>
      <w:pPr>
        <w:ind w:hanging="360" w:left="2880"/>
      </w:pPr>
    </w:lvl>
    <w:lvl w:ilvl="4">
      <w:start w:val="3"/>
      <w:numFmt w:val="decimal"/>
      <w:lvlText w:val="%5."/>
      <w:lvlJc w:val="left"/>
      <w:pPr>
        <w:ind w:hanging="360" w:left="3600"/>
      </w:pPr>
    </w:lvl>
    <w:lvl w:ilvl="5">
      <w:start w:val="3"/>
      <w:numFmt w:val="decimal"/>
      <w:lvlText w:val="%6."/>
      <w:lvlJc w:val="left"/>
      <w:pPr>
        <w:ind w:hanging="360" w:left="4320"/>
      </w:pPr>
    </w:lvl>
    <w:lvl w:ilvl="6">
      <w:start w:val="3"/>
      <w:numFmt w:val="decimal"/>
      <w:lvlText w:val="%7."/>
      <w:lvlJc w:val="left"/>
      <w:pPr>
        <w:ind w:hanging="360" w:left="5040"/>
      </w:pPr>
    </w:lvl>
    <w:lvl w:ilvl="7">
      <w:start w:val="3"/>
      <w:numFmt w:val="decimal"/>
      <w:lvlText w:val="%8."/>
      <w:lvlJc w:val="left"/>
      <w:pPr>
        <w:ind w:hanging="360" w:left="5760"/>
      </w:pPr>
    </w:lvl>
    <w:lvl w:ilvl="8">
      <w:start w:val="3"/>
      <w:numFmt w:val="decimal"/>
      <w:lvlText w:val="%9."/>
      <w:lvlJc w:val="left"/>
      <w:pPr>
        <w:ind w:hanging="360" w:left="6480"/>
      </w:pPr>
    </w:lvl>
  </w:abstractNum>
  <w:abstractNum w15:restartNumberingAfterBreak="0" w:abstractNumId="6">
    <w:nsid w:val="00A99431"/>
    <w:multiLevelType w:val="multilevel"/>
    <w:tmpl w:val="EFE844F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7">
    <w:nsid w:val="00A99432"/>
    <w:multiLevelType w:val="multilevel"/>
    <w:tmpl w:val="43C0A5AA"/>
    <w:lvl w:ilvl="0">
      <w:start w:val="2"/>
      <w:numFmt w:val="decimal"/>
      <w:lvlText w:val="(%1)"/>
      <w:lvlJc w:val="left"/>
      <w:pPr>
        <w:ind w:hanging="360" w:left="720"/>
      </w:pPr>
    </w:lvl>
    <w:lvl w:ilvl="1">
      <w:start w:val="2"/>
      <w:numFmt w:val="decimal"/>
      <w:lvlText w:val="(%2)"/>
      <w:lvlJc w:val="left"/>
      <w:pPr>
        <w:ind w:hanging="360" w:left="1440"/>
      </w:pPr>
    </w:lvl>
    <w:lvl w:ilvl="2">
      <w:start w:val="2"/>
      <w:numFmt w:val="decimal"/>
      <w:lvlText w:val="(%3)"/>
      <w:lvlJc w:val="left"/>
      <w:pPr>
        <w:ind w:hanging="360" w:left="2160"/>
      </w:pPr>
    </w:lvl>
    <w:lvl w:ilvl="3">
      <w:start w:val="2"/>
      <w:numFmt w:val="decimal"/>
      <w:lvlText w:val="(%4)"/>
      <w:lvlJc w:val="left"/>
      <w:pPr>
        <w:ind w:hanging="360" w:left="2880"/>
      </w:pPr>
    </w:lvl>
    <w:lvl w:ilvl="4">
      <w:start w:val="2"/>
      <w:numFmt w:val="decimal"/>
      <w:lvlText w:val="(%5)"/>
      <w:lvlJc w:val="left"/>
      <w:pPr>
        <w:ind w:hanging="360" w:left="3600"/>
      </w:pPr>
    </w:lvl>
    <w:lvl w:ilvl="5">
      <w:start w:val="2"/>
      <w:numFmt w:val="decimal"/>
      <w:lvlText w:val="(%6)"/>
      <w:lvlJc w:val="left"/>
      <w:pPr>
        <w:ind w:hanging="360" w:left="4320"/>
      </w:pPr>
    </w:lvl>
    <w:lvl w:ilvl="6">
      <w:start w:val="2"/>
      <w:numFmt w:val="decimal"/>
      <w:lvlText w:val="(%7)"/>
      <w:lvlJc w:val="left"/>
      <w:pPr>
        <w:ind w:hanging="360" w:left="5040"/>
      </w:pPr>
    </w:lvl>
    <w:lvl w:ilvl="7">
      <w:start w:val="2"/>
      <w:numFmt w:val="decimal"/>
      <w:lvlText w:val="(%8)"/>
      <w:lvlJc w:val="left"/>
      <w:pPr>
        <w:ind w:hanging="360" w:left="5760"/>
      </w:pPr>
    </w:lvl>
    <w:lvl w:ilvl="8">
      <w:start w:val="2"/>
      <w:numFmt w:val="decimal"/>
      <w:lvlText w:val="(%9)"/>
      <w:lvlJc w:val="left"/>
      <w:pPr>
        <w:ind w:hanging="360" w:left="6480"/>
      </w:pPr>
    </w:lvl>
  </w:abstractNum>
  <w:abstractNum w15:restartNumberingAfterBreak="0" w:abstractNumId="8">
    <w:nsid w:val="0A994112"/>
    <w:multiLevelType w:val="multilevel"/>
    <w:tmpl w:val="4D3C5DEC"/>
    <w:lvl w:ilvl="0">
      <w:start w:val="12"/>
      <w:numFmt w:val="decimal"/>
      <w:lvlText w:val="%1."/>
      <w:lvlJc w:val="left"/>
      <w:pPr>
        <w:ind w:hanging="360" w:left="720"/>
      </w:pPr>
    </w:lvl>
    <w:lvl w:ilvl="1">
      <w:start w:val="12"/>
      <w:numFmt w:val="decimal"/>
      <w:lvlText w:val="%2."/>
      <w:lvlJc w:val="left"/>
      <w:pPr>
        <w:ind w:hanging="360" w:left="1440"/>
      </w:pPr>
    </w:lvl>
    <w:lvl w:ilvl="2">
      <w:start w:val="12"/>
      <w:numFmt w:val="decimal"/>
      <w:lvlText w:val="%3."/>
      <w:lvlJc w:val="left"/>
      <w:pPr>
        <w:ind w:hanging="360" w:left="2160"/>
      </w:pPr>
    </w:lvl>
    <w:lvl w:ilvl="3">
      <w:start w:val="12"/>
      <w:numFmt w:val="decimal"/>
      <w:lvlText w:val="%4."/>
      <w:lvlJc w:val="left"/>
      <w:pPr>
        <w:ind w:hanging="360" w:left="2880"/>
      </w:pPr>
    </w:lvl>
    <w:lvl w:ilvl="4">
      <w:start w:val="12"/>
      <w:numFmt w:val="decimal"/>
      <w:lvlText w:val="%5."/>
      <w:lvlJc w:val="left"/>
      <w:pPr>
        <w:ind w:hanging="360" w:left="3600"/>
      </w:pPr>
    </w:lvl>
    <w:lvl w:ilvl="5">
      <w:start w:val="12"/>
      <w:numFmt w:val="decimal"/>
      <w:lvlText w:val="%6."/>
      <w:lvlJc w:val="left"/>
      <w:pPr>
        <w:ind w:hanging="360" w:left="4320"/>
      </w:pPr>
    </w:lvl>
    <w:lvl w:ilvl="6">
      <w:start w:val="12"/>
      <w:numFmt w:val="decimal"/>
      <w:lvlText w:val="%7."/>
      <w:lvlJc w:val="left"/>
      <w:pPr>
        <w:ind w:hanging="360" w:left="5040"/>
      </w:pPr>
    </w:lvl>
    <w:lvl w:ilvl="7">
      <w:start w:val="12"/>
      <w:numFmt w:val="decimal"/>
      <w:lvlText w:val="%8."/>
      <w:lvlJc w:val="left"/>
      <w:pPr>
        <w:ind w:hanging="360" w:left="5760"/>
      </w:pPr>
    </w:lvl>
    <w:lvl w:ilvl="8">
      <w:start w:val="12"/>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44018338" w:numId="1">
    <w:abstractNumId w:val="0"/>
  </w:num>
  <w:num w16cid:durableId="1024474867" w:numId="2">
    <w:abstractNumId w:val="0"/>
  </w:num>
  <w:num w16cid:durableId="1821068856" w:numId="3">
    <w:abstractNumId w:val="0"/>
  </w:num>
  <w:num w16cid:durableId="1841239034" w:numId="4">
    <w:abstractNumId w:val="0"/>
  </w:num>
  <w:num w16cid:durableId="1318268425" w:numId="5">
    <w:abstractNumId w:val="0"/>
  </w:num>
  <w:num w16cid:durableId="1914272285" w:numId="6">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110927732" w:numId="7">
    <w:abstractNumId w:val="0"/>
  </w:num>
  <w:num w16cid:durableId="1072314727"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708799"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0334530"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82097039"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79096492" w:numId="12">
    <w:abstractNumId w:val="0"/>
  </w:num>
  <w:num w16cid:durableId="28840783"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7441279"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5242778"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3330291"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076173512" w:numId="17">
    <w:abstractNumId w:val="0"/>
  </w:num>
  <w:num w16cid:durableId="1315528437"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399532"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19368092"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0" w:numId="2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568034589" w:numId="22">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16cid:durableId="440539238" w:numId="23">
    <w:abstractNumId w:val="0"/>
  </w:num>
  <w:num w16cid:durableId="1130173126"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51195703"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0396052"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6687767" w:numId="2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527910060" w:numId="2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16cid:durableId="107118144" w:numId="29">
    <w:abstractNumId w:val="1"/>
  </w:num>
  <w:num w16cid:durableId="1628465435" w:numId="30">
    <w:abstractNumId w:val="1"/>
  </w:num>
  <w:num w16cid:durableId="482435029" w:numId="31">
    <w:abstractNumId w:val="1"/>
  </w:num>
  <w:num w16cid:durableId="1079213015" w:numId="32">
    <w:abstractNumId w:val="1"/>
  </w:num>
  <w:num w16cid:durableId="9572067" w:numId="33">
    <w:abstractNumId w:val="1"/>
  </w:num>
  <w:num w16cid:durableId="82843433" w:numId="34">
    <w:abstractNumId w:val="1"/>
  </w:num>
  <w:num w16cid:durableId="1988119988" w:numId="35">
    <w:abstractNumId w:val="1"/>
  </w:num>
  <w:num w16cid:durableId="1269964266" w:numId="36">
    <w:abstractNumId w:val="1"/>
  </w:num>
  <w:num w16cid:durableId="1571383915" w:numId="37">
    <w:abstractNumId w:val="1"/>
  </w:num>
  <w:num w16cid:durableId="1805462119" w:numId="38">
    <w:abstractNumId w:val="1"/>
  </w:num>
  <w:num w16cid:durableId="744839888" w:numId="39">
    <w:abstractNumId w:val="1"/>
  </w:num>
  <w:num w16cid:durableId="1139298157" w:numId="40">
    <w:abstractNumId w:val="1"/>
  </w:num>
  <w:num w16cid:durableId="400755359" w:numId="41">
    <w:abstractNumId w:val="1"/>
  </w:num>
  <w:num w16cid:durableId="1533882625" w:numId="42">
    <w:abstractNumId w:val="1"/>
  </w:num>
  <w:num w16cid:durableId="1251543687" w:numId="43">
    <w:abstractNumId w:val="1"/>
  </w:num>
  <w:num w16cid:durableId="1642727442" w:numId="44">
    <w:abstractNumId w:val="1"/>
  </w:num>
  <w:num w16cid:durableId="122120297" w:numId="45">
    <w:abstractNumId w:val="1"/>
  </w:num>
  <w:num w16cid:durableId="1036275928" w:numId="46">
    <w:abstractNumId w:val="1"/>
  </w:num>
  <w:num w16cid:durableId="379550650" w:numId="47">
    <w:abstractNumId w:val="1"/>
  </w:num>
  <w:num w16cid:durableId="255014883" w:numId="48">
    <w:abstractNumId w:val="1"/>
  </w:num>
  <w:num w16cid:durableId="1907720116" w:numId="49">
    <w:abstractNumId w:val="1"/>
  </w:num>
  <w:num w16cid:durableId="1675379621" w:numId="50">
    <w:abstractNumId w:val="1"/>
  </w:num>
  <w:num w16cid:durableId="90663044" w:numId="51">
    <w:abstractNumId w:val="1"/>
  </w:num>
  <w:num w16cid:durableId="392777206" w:numId="52">
    <w:abstractNumId w:val="1"/>
  </w:num>
  <w:num w16cid:durableId="543949429" w:numId="53">
    <w:abstractNumId w:val="1"/>
  </w:num>
  <w:num w16cid:durableId="2117406600" w:numId="54">
    <w:abstractNumId w:val="1"/>
  </w:num>
  <w:num w16cid:durableId="1106773433" w:numId="55">
    <w:abstractNumId w:val="1"/>
  </w:num>
  <w:num w16cid:durableId="1282685008" w:numId="56">
    <w:abstractNumId w:val="1"/>
  </w:num>
  <w:num w16cid:durableId="893586691" w:numId="57">
    <w:abstractNumId w:val="1"/>
  </w:num>
  <w:num w16cid:durableId="275142140" w:numId="58">
    <w:abstractNumId w:val="1"/>
  </w:num>
  <w:num w16cid:durableId="1584605391"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2508216" w:numId="60">
    <w:abstractNumId w:val="1"/>
  </w:num>
  <w:num w16cid:durableId="663508703" w:numId="61">
    <w:abstractNumId w:val="1"/>
  </w:num>
  <w:num w16cid:durableId="1549102801" w:numId="62">
    <w:abstractNumId w:val="1"/>
  </w:num>
  <w:num w16cid:durableId="1276644015" w:numId="63">
    <w:abstractNumId w:val="0"/>
  </w:num>
  <w:num w16cid:durableId="1833984462"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6384784"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6372480"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58969755" w:numId="6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10880122" w:numId="6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16cid:durableId="572159916" w:numId="69">
    <w:abstractNumId w:val="1"/>
  </w:num>
  <w:num w16cid:durableId="1347436790" w:numId="70">
    <w:abstractNumId w:val="1"/>
  </w:num>
  <w:num w16cid:durableId="29574760" w:numId="71">
    <w:abstractNumId w:val="1"/>
  </w:num>
  <w:num w16cid:durableId="1157571814" w:numId="72">
    <w:abstractNumId w:val="1"/>
  </w:num>
  <w:num w16cid:durableId="576549590" w:numId="73">
    <w:abstractNumId w:val="1"/>
  </w:num>
  <w:num w16cid:durableId="1167742228" w:numId="74">
    <w:abstractNumId w:val="1"/>
  </w:num>
  <w:num w16cid:durableId="871040895" w:numId="75">
    <w:abstractNumId w:val="1"/>
  </w:num>
  <w:num w16cid:durableId="958074510" w:numId="76">
    <w:abstractNumId w:val="1"/>
  </w:num>
  <w:num w16cid:durableId="694230980" w:numId="77">
    <w:abstractNumId w:val="1"/>
  </w:num>
  <w:num w16cid:durableId="1847592569" w:numId="78">
    <w:abstractNumId w:val="1"/>
  </w:num>
  <w:num w16cid:durableId="456723221" w:numId="79">
    <w:abstractNumId w:val="1"/>
  </w:num>
  <w:num w16cid:durableId="644237735" w:numId="80">
    <w:abstractNumId w:val="1"/>
  </w:num>
  <w:num w16cid:durableId="920873679" w:numId="81">
    <w:abstractNumId w:val="1"/>
  </w:num>
  <w:num w16cid:durableId="1519201178" w:numId="82">
    <w:abstractNumId w:val="1"/>
  </w:num>
  <w:num w16cid:durableId="1158231889" w:numId="83">
    <w:abstractNumId w:val="1"/>
  </w:num>
  <w:num w16cid:durableId="1715496627" w:numId="84">
    <w:abstractNumId w:val="1"/>
  </w:num>
  <w:num w16cid:durableId="1818525439" w:numId="85">
    <w:abstractNumId w:val="1"/>
  </w:num>
  <w:num w16cid:durableId="1013149780" w:numId="86">
    <w:abstractNumId w:val="1"/>
  </w:num>
  <w:num w16cid:durableId="2102018505" w:numId="87">
    <w:abstractNumId w:val="1"/>
  </w:num>
  <w:num w16cid:durableId="8879091" w:numId="88">
    <w:abstractNumId w:val="1"/>
  </w:num>
  <w:num w16cid:durableId="1890797373" w:numId="89">
    <w:abstractNumId w:val="1"/>
  </w:num>
  <w:num w16cid:durableId="1519078647" w:numId="90">
    <w:abstractNumId w:val="1"/>
  </w:num>
  <w:num w16cid:durableId="1449855339" w:numId="91">
    <w:abstractNumId w:val="1"/>
  </w:num>
  <w:num w16cid:durableId="1660617623" w:numId="92">
    <w:abstractNumId w:val="1"/>
  </w:num>
  <w:num w16cid:durableId="1602373185" w:numId="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9937500" w:numId="94">
    <w:abstractNumId w:val="1"/>
  </w:num>
  <w:num w16cid:durableId="500006081" w:numId="95">
    <w:abstractNumId w:val="1"/>
  </w:num>
  <w:num w16cid:durableId="124616673" w:numId="96">
    <w:abstractNumId w:val="1"/>
  </w:num>
  <w:num w16cid:durableId="216286215" w:numId="97">
    <w:abstractNumId w:val="0"/>
  </w:num>
  <w:num w16cid:durableId="1117874252" w:numId="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4324272" w:numId="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21514483" w:numId="1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364107" w:numId="10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82997949" w:numId="102">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16cid:durableId="1826236121" w:numId="103">
    <w:abstractNumId w:val="1"/>
  </w:num>
  <w:num w16cid:durableId="2005353356" w:numId="104">
    <w:abstractNumId w:val="1"/>
  </w:num>
  <w:num w16cid:durableId="671839767" w:numId="105">
    <w:abstractNumId w:val="1"/>
  </w:num>
  <w:num w16cid:durableId="1520120853" w:numId="106">
    <w:abstractNumId w:val="1"/>
  </w:num>
  <w:num w16cid:durableId="1851990133" w:numId="107">
    <w:abstractNumId w:val="1"/>
  </w:num>
  <w:num w16cid:durableId="1709797604" w:numId="108">
    <w:abstractNumId w:val="1"/>
  </w:num>
  <w:num w16cid:durableId="656959874" w:numId="109">
    <w:abstractNumId w:val="1"/>
  </w:num>
  <w:num w16cid:durableId="1791512539" w:numId="110">
    <w:abstractNumId w:val="1"/>
  </w:num>
  <w:num w16cid:durableId="58023709" w:numId="111">
    <w:abstractNumId w:val="1"/>
  </w:num>
  <w:num w16cid:durableId="1782869454" w:numId="112">
    <w:abstractNumId w:val="1"/>
  </w:num>
  <w:num w16cid:durableId="2065058238" w:numId="113">
    <w:abstractNumId w:val="1"/>
  </w:num>
  <w:num w16cid:durableId="1845589146" w:numId="114">
    <w:abstractNumId w:val="1"/>
  </w:num>
  <w:num w16cid:durableId="1059481658" w:numId="115">
    <w:abstractNumId w:val="1"/>
  </w:num>
  <w:num w16cid:durableId="569968608" w:numId="116">
    <w:abstractNumId w:val="1"/>
  </w:num>
  <w:num w16cid:durableId="211385319" w:numId="117">
    <w:abstractNumId w:val="1"/>
  </w:num>
  <w:num w16cid:durableId="782115049" w:numId="118">
    <w:abstractNumId w:val="1"/>
  </w:num>
  <w:num w16cid:durableId="617301252" w:numId="119">
    <w:abstractNumId w:val="1"/>
  </w:num>
  <w:num w16cid:durableId="421411944" w:numId="120">
    <w:abstractNumId w:val="1"/>
  </w:num>
  <w:num w16cid:durableId="1312521414" w:numId="121">
    <w:abstractNumId w:val="1"/>
  </w:num>
  <w:num w16cid:durableId="632249805" w:numId="122">
    <w:abstractNumId w:val="1"/>
  </w:num>
  <w:num w16cid:durableId="1510100257" w:numId="123">
    <w:abstractNumId w:val="1"/>
  </w:num>
  <w:num w16cid:durableId="2094819277" w:numId="124">
    <w:abstractNumId w:val="1"/>
  </w:num>
  <w:num w16cid:durableId="1135296914" w:numId="125">
    <w:abstractNumId w:val="1"/>
  </w:num>
  <w:num w16cid:durableId="421725611" w:numId="126">
    <w:abstractNumId w:val="1"/>
  </w:num>
  <w:num w16cid:durableId="1891263306" w:numId="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4420946" w:numId="128">
    <w:abstractNumId w:val="1"/>
  </w:num>
  <w:num w16cid:durableId="627317515" w:numId="129">
    <w:abstractNumId w:val="1"/>
  </w:num>
  <w:num w16cid:durableId="1297180586" w:numId="130">
    <w:abstractNumId w:val="1"/>
  </w:num>
  <w:num w16cid:durableId="1677878497" w:numId="131">
    <w:abstractNumId w:val="0"/>
  </w:num>
  <w:num w16cid:durableId="1922519157" w:numId="132">
    <w:abstractNumId w:val="0"/>
  </w:num>
  <w:num w16cid:durableId="1706833427" w:numId="133">
    <w:abstractNumId w:val="0"/>
  </w:num>
  <w:num w16cid:durableId="1040282804" w:numId="134">
    <w:abstractNumId w:val="0"/>
  </w:num>
  <w:num w16cid:durableId="786238987" w:numId="135">
    <w:abstractNumId w:val="0"/>
  </w:num>
  <w:num w16cid:durableId="1878010800" w:numId="136">
    <w:abstractNumId w:val="1"/>
  </w:num>
  <w:num w16cid:durableId="323507349" w:numId="137">
    <w:abstractNumId w:val="1"/>
  </w:num>
  <w:num w16cid:durableId="433288858" w:numId="138">
    <w:abstractNumId w:val="0"/>
  </w:num>
  <w:num w16cid:durableId="95172811" w:numId="139">
    <w:abstractNumId w:val="1"/>
  </w:num>
  <w:num w16cid:durableId="1477063461" w:numId="140">
    <w:abstractNumId w:val="1"/>
  </w:num>
  <w:num w16cid:durableId="1835486152" w:numId="141">
    <w:abstractNumId w:val="1"/>
  </w:num>
  <w:num w16cid:durableId="335806995" w:numId="142">
    <w:abstractNumId w:val="3"/>
  </w:num>
  <w:num w16cid:durableId="1824420919" w:numId="143">
    <w:abstractNumId w:val="3"/>
  </w:num>
  <w:num w16cid:durableId="850486725" w:numId="144">
    <w:abstractNumId w:val="3"/>
  </w:num>
  <w:num w16cid:durableId="443887692" w:numId="145">
    <w:abstractNumId w:val="2"/>
  </w:num>
  <w:num w16cid:durableId="1804149749" w:numId="146">
    <w:abstractNumId w:val="2"/>
  </w:num>
  <w:num w16cid:durableId="1494368282" w:numId="147">
    <w:abstractNumId w:val="1"/>
  </w:num>
  <w:num w16cid:durableId="1914658397" w:numId="148">
    <w:abstractNumId w:val="0"/>
  </w:num>
  <w:num w16cid:durableId="2017995733" w:numId="149">
    <w:abstractNumId w:val="1"/>
  </w:num>
  <w:num w16cid:durableId="30427042" w:numId="150">
    <w:abstractNumId w:val="1"/>
  </w:num>
  <w:num w16cid:durableId="1870337741" w:numId="151">
    <w:abstractNumId w:val="1"/>
  </w:num>
  <w:num w16cid:durableId="799107808" w:numId="152">
    <w:abstractNumId w:val="3"/>
  </w:num>
  <w:num w16cid:durableId="1445340804" w:numId="153">
    <w:abstractNumId w:val="3"/>
  </w:num>
  <w:num w16cid:durableId="1722048327" w:numId="154">
    <w:abstractNumId w:val="3"/>
  </w:num>
  <w:num w16cid:durableId="322244760" w:numId="155">
    <w:abstractNumId w:val="2"/>
  </w:num>
  <w:num w16cid:durableId="1666082062" w:numId="156">
    <w:abstractNumId w:val="2"/>
  </w:num>
  <w:num w16cid:durableId="210115313" w:numId="157">
    <w:abstractNumId w:val="1"/>
  </w:num>
  <w:num w16cid:durableId="149029440" w:numId="158">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79"/>
    <w:rsid w:val="000175B8"/>
    <w:rsid w:val="00052946"/>
    <w:rsid w:val="00062841"/>
    <w:rsid w:val="00070816"/>
    <w:rsid w:val="000806D9"/>
    <w:rsid w:val="000A2F4C"/>
    <w:rsid w:val="00164779"/>
    <w:rsid w:val="00174551"/>
    <w:rsid w:val="001A60D4"/>
    <w:rsid w:val="001A74EC"/>
    <w:rsid w:val="001D057A"/>
    <w:rsid w:val="00204171"/>
    <w:rsid w:val="0022135A"/>
    <w:rsid w:val="002C0CA5"/>
    <w:rsid w:val="00343615"/>
    <w:rsid w:val="00345EFC"/>
    <w:rsid w:val="003A2534"/>
    <w:rsid w:val="003C5FF7"/>
    <w:rsid w:val="003F0341"/>
    <w:rsid w:val="00404A5E"/>
    <w:rsid w:val="004A0376"/>
    <w:rsid w:val="00504587"/>
    <w:rsid w:val="005407A2"/>
    <w:rsid w:val="005B159D"/>
    <w:rsid w:val="005C4B6A"/>
    <w:rsid w:val="00655B5B"/>
    <w:rsid w:val="00672CA5"/>
    <w:rsid w:val="006B5F35"/>
    <w:rsid w:val="006F2495"/>
    <w:rsid w:val="00723F3A"/>
    <w:rsid w:val="007467E2"/>
    <w:rsid w:val="00771CCD"/>
    <w:rsid w:val="007B3BDF"/>
    <w:rsid w:val="007B5AAF"/>
    <w:rsid w:val="00833580"/>
    <w:rsid w:val="00836787"/>
    <w:rsid w:val="00876643"/>
    <w:rsid w:val="00894F2D"/>
    <w:rsid w:val="008A0860"/>
    <w:rsid w:val="008E2468"/>
    <w:rsid w:val="00913886"/>
    <w:rsid w:val="009B3B25"/>
    <w:rsid w:val="00A2491C"/>
    <w:rsid w:val="00A57EDB"/>
    <w:rsid w:val="00AB74C3"/>
    <w:rsid w:val="00B3078F"/>
    <w:rsid w:val="00BB5205"/>
    <w:rsid w:val="00BC2916"/>
    <w:rsid w:val="00BD31A9"/>
    <w:rsid w:val="00BE0BEF"/>
    <w:rsid w:val="00BE4973"/>
    <w:rsid w:val="00C40BC6"/>
    <w:rsid w:val="00C670B0"/>
    <w:rsid w:val="00C752C3"/>
    <w:rsid w:val="00C97BA2"/>
    <w:rsid w:val="00CB1237"/>
    <w:rsid w:val="00D4330D"/>
    <w:rsid w:val="00DC018E"/>
    <w:rsid w:val="00E02815"/>
    <w:rsid w:val="00E322EE"/>
    <w:rsid w:val="00E37E32"/>
    <w:rsid w:val="00E615C3"/>
    <w:rsid w:val="00E70321"/>
    <w:rsid w:val="00E8579C"/>
    <w:rsid w:val="00F1108D"/>
    <w:rsid w:val="00F30F7D"/>
    <w:rsid w:val="00F335D0"/>
    <w:rsid w:val="00F45246"/>
    <w:rsid w:val="00F84592"/>
    <w:rsid w:val="00FB3D69"/>
    <w:rsid w:val="00FB559B"/>
    <w:rsid w:val="00FE0AB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1108D"/>
    <w:pPr>
      <w:spacing w:after="100" w:before="100"/>
    </w:pPr>
    <w:rPr>
      <w:rFonts w:ascii="Cambria" w:hAnsi="Cambria"/>
      <w:sz w:val="22"/>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57EDB"/>
    <w:pPr>
      <w:keepNext/>
      <w:keepLines/>
      <w:spacing w:after="80" w:before="160"/>
      <w:outlineLvl w:val="1"/>
    </w:pPr>
    <w:rPr>
      <w:rFonts w:cstheme="majorBidi" w:eastAsiaTheme="majorEastAsia"/>
      <w:b/>
      <w:szCs w:val="32"/>
    </w:rPr>
  </w:style>
  <w:style w:styleId="Heading3" w:type="paragraph">
    <w:name w:val="heading 3"/>
    <w:basedOn w:val="Normal"/>
    <w:next w:val="BodyText"/>
    <w:link w:val="Heading3Char"/>
    <w:uiPriority w:val="9"/>
    <w:semiHidden/>
    <w:unhideWhenUsed/>
    <w:qFormat/>
    <w:rsid w:val="007467E2"/>
    <w:pPr>
      <w:keepNext/>
      <w:keepLines/>
      <w:spacing w:after="80" w:before="160"/>
      <w:outlineLvl w:val="2"/>
    </w:pPr>
    <w:rPr>
      <w:rFonts w:cstheme="majorBidi" w:eastAsiaTheme="majorEastAsia"/>
      <w:b/>
      <w:szCs w:val="28"/>
    </w:rPr>
  </w:style>
  <w:style w:styleId="Heading4" w:type="paragraph">
    <w:name w:val="heading 4"/>
    <w:basedOn w:val="Normal"/>
    <w:next w:val="BodyText"/>
    <w:link w:val="Heading4Char"/>
    <w:uiPriority w:val="9"/>
    <w:semiHidden/>
    <w:unhideWhenUsed/>
    <w:qFormat/>
    <w:rsid w:val="00504587"/>
    <w:pPr>
      <w:keepNext/>
      <w:keepLines/>
      <w:spacing w:after="40" w:before="220"/>
      <w:outlineLvl w:val="3"/>
    </w:pPr>
    <w:rPr>
      <w:rFonts w:cstheme="majorBidi" w:eastAsiaTheme="majorEastAsia"/>
      <w:iCs/>
      <w:u w:val="single"/>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B74C3"/>
    <w:pPr>
      <w:spacing w:after="0" w:before="0"/>
    </w:pPr>
    <w:rPr>
      <w:sz w:val="16"/>
    </w:rPr>
  </w:style>
  <w:style w:styleId="Title" w:type="paragraph">
    <w:name w:val="Title"/>
    <w:basedOn w:val="Normal"/>
    <w:next w:val="BodyText"/>
    <w:link w:val="TitleChar"/>
    <w:uiPriority w:val="10"/>
    <w:qFormat/>
    <w:rsid w:val="0022135A"/>
    <w:pPr>
      <w:spacing w:after="80" w:line="360" w:lineRule="auto"/>
      <w:contextualSpacing/>
      <w:jc w:val="center"/>
    </w:pPr>
    <w:rPr>
      <w:rFonts w:cstheme="majorBidi" w:eastAsiaTheme="majorEastAsia"/>
      <w:b/>
      <w:sz w:val="28"/>
      <w:szCs w:val="56"/>
    </w:rPr>
  </w:style>
  <w:style w:customStyle="1" w:styleId="TitleChar" w:type="character">
    <w:name w:val="Title Char"/>
    <w:basedOn w:val="DefaultParagraphFont"/>
    <w:link w:val="Title"/>
    <w:uiPriority w:val="10"/>
    <w:rsid w:val="0022135A"/>
    <w:rPr>
      <w:rFonts w:ascii="Cambria" w:cstheme="majorBidi" w:eastAsiaTheme="majorEastAsia" w:hAnsi="Cambria"/>
      <w:b/>
      <w:sz w:val="28"/>
      <w:szCs w:val="56"/>
    </w:rPr>
  </w:style>
  <w:style w:styleId="Subtitle" w:type="paragraph">
    <w:name w:val="Subtitle"/>
    <w:basedOn w:val="Title"/>
    <w:next w:val="BodyText"/>
    <w:link w:val="SubtitleChar"/>
    <w:uiPriority w:val="11"/>
    <w:qFormat/>
    <w:rsid w:val="00A10FD9"/>
    <w:pPr>
      <w:numPr>
        <w:ilvl w:val="1"/>
      </w:numPr>
    </w:pPr>
    <w:rPr>
      <w:spacing w:val="15"/>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rsid w:val="003A2534"/>
    <w:pPr>
      <w:keepNext/>
      <w:keepLines/>
    </w:pPr>
    <w:rPr>
      <w:b w:val="0"/>
      <w:sz w:val="22"/>
      <w:szCs w:val="24"/>
    </w:rPr>
  </w:style>
  <w:style w:styleId="Date" w:type="paragraph">
    <w:name w:val="Date"/>
    <w:basedOn w:val="Title"/>
    <w:next w:val="BodyText"/>
    <w:qFormat/>
    <w:rsid w:val="000175B8"/>
    <w:pPr>
      <w:keepNext/>
      <w:keepLines/>
    </w:pPr>
    <w:rPr>
      <w:b w:val="0"/>
      <w:sz w:val="22"/>
      <w:szCs w:val="24"/>
    </w:rPr>
  </w:style>
  <w:style w:customStyle="1" w:styleId="AbstractTitle" w:type="paragraph">
    <w:name w:val="Abstract Title"/>
    <w:basedOn w:val="Normal"/>
    <w:next w:val="Abstract"/>
    <w:qFormat/>
    <w:rsid w:val="001D057A"/>
    <w:pPr>
      <w:keepNext/>
      <w:keepLines/>
      <w:spacing w:after="0"/>
      <w:jc w:val="center"/>
    </w:pPr>
    <w:rPr>
      <w:b/>
      <w:color w:themeColor="background1" w:val="FFFFFF"/>
      <w:sz w:val="8"/>
      <w:szCs w:val="20"/>
    </w:rPr>
  </w:style>
  <w:style w:customStyle="1" w:styleId="Abstract" w:type="paragraph">
    <w:name w:val="Abstract"/>
    <w:basedOn w:val="Normal"/>
    <w:next w:val="BodyText"/>
    <w:qFormat/>
    <w:rsid w:val="00771CCD"/>
    <w:pPr>
      <w:keepNext/>
      <w:keepLines/>
      <w:pageBreakBefore/>
      <w:spacing w:after="120" w:before="240" w:line="480" w:lineRule="auto"/>
      <w:ind w:left="1440" w:right="144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57EDB"/>
    <w:rPr>
      <w:rFonts w:ascii="Arial" w:cstheme="majorBidi" w:eastAsiaTheme="majorEastAsia" w:hAnsi="Arial"/>
      <w:b/>
      <w:sz w:val="22"/>
      <w:szCs w:val="32"/>
    </w:rPr>
  </w:style>
  <w:style w:customStyle="1" w:styleId="Heading3Char" w:type="character">
    <w:name w:val="Heading 3 Char"/>
    <w:basedOn w:val="DefaultParagraphFont"/>
    <w:link w:val="Heading3"/>
    <w:uiPriority w:val="9"/>
    <w:semiHidden/>
    <w:rsid w:val="007467E2"/>
    <w:rPr>
      <w:rFonts w:ascii="Cambria" w:cstheme="majorBidi" w:eastAsiaTheme="majorEastAsia" w:hAnsi="Cambria"/>
      <w:b/>
      <w:sz w:val="22"/>
      <w:szCs w:val="28"/>
    </w:rPr>
  </w:style>
  <w:style w:customStyle="1" w:styleId="Heading4Char" w:type="character">
    <w:name w:val="Heading 4 Char"/>
    <w:basedOn w:val="DefaultParagraphFont"/>
    <w:link w:val="Heading4"/>
    <w:uiPriority w:val="9"/>
    <w:semiHidden/>
    <w:rsid w:val="00504587"/>
    <w:rPr>
      <w:rFonts w:ascii="Cambria" w:cstheme="majorBidi" w:eastAsiaTheme="majorEastAsia" w:hAnsi="Cambria"/>
      <w:iCs/>
      <w:sz w:val="22"/>
      <w:u w:val="single"/>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rsid w:val="00F84592"/>
    <w:pPr>
      <w:pBdr>
        <w:left w:color="auto" w:space="4" w:sz="4" w:val="single"/>
      </w:pBdr>
      <w:spacing w:after="100" w:before="100"/>
      <w:ind w:left="480" w:right="480"/>
    </w:pPr>
  </w:style>
  <w:style w:styleId="FootnoteText" w:type="paragraph">
    <w:name w:val="footnote text"/>
    <w:basedOn w:val="Normal"/>
    <w:uiPriority w:val="9"/>
    <w:unhideWhenUsed/>
    <w:qFormat/>
    <w:rsid w:val="00A57EDB"/>
    <w:rPr>
      <w:sz w:val="16"/>
    </w:rPr>
  </w:style>
  <w:style w:customStyle="1" w:styleId="FootnoteBlockText" w:type="paragraph">
    <w:name w:val="Footnote Block Text"/>
    <w:basedOn w:val="FootnoteText"/>
    <w:next w:val="FootnoteText"/>
    <w:uiPriority w:val="9"/>
    <w:unhideWhenUsed/>
    <w:qFormat/>
    <w:pPr>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6F2495"/>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Normal"/>
    <w:next w:val="BodyText"/>
    <w:uiPriority w:val="39"/>
    <w:unhideWhenUsed/>
    <w:qFormat/>
    <w:rsid w:val="00C97BA2"/>
    <w:pPr>
      <w:pageBreakBefore/>
      <w:widowControl w:val="0"/>
      <w:spacing w:before="220" w:line="259" w:lineRule="auto"/>
    </w:pPr>
    <w:rPr>
      <w:b/>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2" w:type="paragraph">
    <w:name w:val="toc 2"/>
    <w:basedOn w:val="Normal"/>
    <w:next w:val="Normal"/>
    <w:autoRedefine/>
    <w:uiPriority w:val="39"/>
    <w:rsid w:val="00070816"/>
    <w:pPr>
      <w:ind w:left="220"/>
    </w:pPr>
  </w:style>
  <w:style w:styleId="TOC3" w:type="paragraph">
    <w:name w:val="toc 3"/>
    <w:basedOn w:val="Normal"/>
    <w:next w:val="Normal"/>
    <w:autoRedefine/>
    <w:uiPriority w:val="39"/>
    <w:rsid w:val="00070816"/>
    <w:pPr>
      <w:ind w:left="440"/>
    </w:pPr>
  </w:style>
  <w:style w:styleId="Footer" w:type="paragraph">
    <w:name w:val="footer"/>
    <w:basedOn w:val="Normal"/>
    <w:link w:val="FooterChar"/>
    <w:rsid w:val="000A2F4C"/>
    <w:pPr>
      <w:tabs>
        <w:tab w:pos="4680" w:val="center"/>
        <w:tab w:pos="9360" w:val="right"/>
      </w:tabs>
      <w:spacing w:after="0"/>
    </w:pPr>
  </w:style>
  <w:style w:customStyle="1" w:styleId="FooterChar" w:type="character">
    <w:name w:val="Footer Char"/>
    <w:basedOn w:val="DefaultParagraphFont"/>
    <w:link w:val="Footer"/>
    <w:rsid w:val="000A2F4C"/>
    <w:rPr>
      <w:rFonts w:ascii="Excalifont" w:hAnsi="Excalifont"/>
      <w:sz w:val="22"/>
    </w:rPr>
  </w:style>
  <w:style w:styleId="PageNumber" w:type="character">
    <w:name w:val="page number"/>
    <w:basedOn w:val="DefaultParagraphFont"/>
    <w:rsid w:val="000A2F4C"/>
  </w:style>
  <w:style w:customStyle="1" w:styleId="Commentary" w:type="paragraph">
    <w:name w:val="Commentary"/>
    <w:basedOn w:val="BodyText"/>
    <w:qFormat/>
    <w:rsid w:val="002C0CA5"/>
    <w:pPr>
      <w:ind w:left="720" w:right="720"/>
    </w:pPr>
    <w:rPr>
      <w:rFonts w:ascii="Excalifont" w:hAnsi="Excalifont"/>
    </w:rPr>
  </w:style>
  <w:style w:customStyle="1" w:styleId="RLIndented" w:type="paragraph">
    <w:name w:val="RLIndented"/>
    <w:basedOn w:val="BodyText"/>
    <w:qFormat/>
    <w:rsid w:val="007B5AAF"/>
    <w:pPr>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Essays about Change</vt:lpstr>
    </vt:vector>
  </TitlesOfParts>
  <Company>Brown University</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of Dementia and Mild Cognitive Impairment in the Health and Retirement Study</dc:title>
  <dc:creator>Richard N. Jones; Jennifer J. Manly; Douglas Tommet; Lindsay Kobayashi; Lindsay H. Ryan; Deborah A. Levine; Ryan J. McCammon; Steven G. Heeringa; David Weir; Kenneth M. Langa</dc:creator>
  <cp:keywords/>
  <dcterms:created xsi:type="dcterms:W3CDTF">2025-07-23T10:45:46Z</dcterms:created>
  <dcterms:modified xsi:type="dcterms:W3CDTF">2025-07-23T10:45:46Z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Importance: Dementia and mild cognitive impairment (MCI) are common in older adults, but their prevalence is not well understood and challenging to assess in large population-based studies. Objective: Describe the prevalence of MCI and dementia in the Health and Retirement Study (HRS), using a novel approach to classifying dementia informed by the recently completed wave 1 of the Harmonized Cognitive Assessment Protocol (HCAP) study. Design: Cross-sectional analysis of the 2016 HRS Core sample, validation using existing consensus panel classifications. Main Outcomes and Measures: The prevalence of dementia and MCI is XYZ and PDQ. Our algorithm shows poor agreement with consensus standard classifications (weighted kappa = 0.33), but this is due to difficulties in reaching agreement regarding mild cognitive impairment, and the agreement statistic is excellent for dementia versus less impaired cognition (kappa = 0.77). Conclusions: The new algorithm shows very promising validity evidence for dementia classification in the HRS. The accurate classification of MCI remains a challenge in field research settings.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2025-07-22</vt:lpwstr>
  </property>
  <property fmtid="{D5CDD505-2E9C-101B-9397-08002B2CF9AE}" pid="9" name="editor">
    <vt:lpwstr>source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