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783AC" w14:textId="77777777" w:rsidR="00C40BC6" w:rsidRDefault="00000000">
      <w:pPr>
        <w:pStyle w:val="Title"/>
      </w:pPr>
      <w:r>
        <w:t>Prevalence of Dementia and Mild Cognitive Impairment in the Health and Retirement Study</w:t>
      </w:r>
    </w:p>
    <w:p w14:paraId="61B31275" w14:textId="77777777" w:rsidR="00C40BC6" w:rsidRDefault="00000000">
      <w:pPr>
        <w:pStyle w:val="Author"/>
      </w:pPr>
      <w:r>
        <w:t>Richard N. Jones</w:t>
      </w:r>
    </w:p>
    <w:p w14:paraId="2DD7FC74" w14:textId="77777777" w:rsidR="00C40BC6" w:rsidRDefault="00000000">
      <w:pPr>
        <w:pStyle w:val="Author"/>
      </w:pPr>
      <w:r>
        <w:t>Jennifer J. Manly</w:t>
      </w:r>
    </w:p>
    <w:p w14:paraId="51FCC1D6" w14:textId="77777777" w:rsidR="00C40BC6" w:rsidRDefault="00000000">
      <w:pPr>
        <w:pStyle w:val="Author"/>
      </w:pPr>
      <w:r>
        <w:t>Douglas Tommet</w:t>
      </w:r>
    </w:p>
    <w:p w14:paraId="68A50475" w14:textId="77777777" w:rsidR="00C40BC6" w:rsidRDefault="00000000">
      <w:pPr>
        <w:pStyle w:val="Author"/>
      </w:pPr>
      <w:r>
        <w:t>Lindsay Kobayashi</w:t>
      </w:r>
    </w:p>
    <w:p w14:paraId="1DA8F4EB" w14:textId="77777777" w:rsidR="00C40BC6" w:rsidRDefault="00000000">
      <w:pPr>
        <w:pStyle w:val="Author"/>
      </w:pPr>
      <w:r>
        <w:t>Lindsay H. Ryan</w:t>
      </w:r>
    </w:p>
    <w:p w14:paraId="75C88ADF" w14:textId="77777777" w:rsidR="00C40BC6" w:rsidRDefault="00000000">
      <w:pPr>
        <w:pStyle w:val="Author"/>
      </w:pPr>
      <w:r>
        <w:t>Deborah A. Levine</w:t>
      </w:r>
    </w:p>
    <w:p w14:paraId="2984935C" w14:textId="77777777" w:rsidR="00C40BC6" w:rsidRDefault="00000000">
      <w:pPr>
        <w:pStyle w:val="Author"/>
      </w:pPr>
      <w:r>
        <w:t>Ryan J. McCammon</w:t>
      </w:r>
    </w:p>
    <w:p w14:paraId="5E15FE1F" w14:textId="77777777" w:rsidR="00C40BC6" w:rsidRDefault="00000000">
      <w:pPr>
        <w:pStyle w:val="Author"/>
      </w:pPr>
      <w:r>
        <w:t>Steven G. Heeringa</w:t>
      </w:r>
    </w:p>
    <w:p w14:paraId="0CC2D2F7" w14:textId="77777777" w:rsidR="00C40BC6" w:rsidRDefault="00000000">
      <w:pPr>
        <w:pStyle w:val="Author"/>
      </w:pPr>
      <w:r>
        <w:t>David Weir</w:t>
      </w:r>
    </w:p>
    <w:p w14:paraId="29241032" w14:textId="77777777" w:rsidR="00C40BC6" w:rsidRDefault="00000000">
      <w:pPr>
        <w:pStyle w:val="Author"/>
      </w:pPr>
      <w:r>
        <w:t>Kenneth M. Langa</w:t>
      </w:r>
    </w:p>
    <w:p w14:paraId="678E060F" w14:textId="77777777" w:rsidR="00C40BC6" w:rsidRDefault="00000000">
      <w:pPr>
        <w:pStyle w:val="Date"/>
      </w:pPr>
      <w:r>
        <w:t>2025-07-22</w:t>
      </w:r>
    </w:p>
    <w:p w14:paraId="4E8B5A9F" w14:textId="77777777" w:rsidR="00C40BC6" w:rsidRDefault="00000000">
      <w:pPr>
        <w:pStyle w:val="AbstractTitle"/>
      </w:pPr>
      <w:r>
        <w:t>Abstract</w:t>
      </w:r>
    </w:p>
    <w:p w14:paraId="53205230" w14:textId="77777777" w:rsidR="00C40BC6" w:rsidRDefault="00000000">
      <w:pPr>
        <w:pStyle w:val="Abstract"/>
      </w:pPr>
      <w:r>
        <w:rPr>
          <w:b/>
          <w:bCs/>
        </w:rPr>
        <w:lastRenderedPageBreak/>
        <w:t>Importance:</w:t>
      </w:r>
      <w:r>
        <w:t xml:space="preserve"> Dementia and mild cognitive impairment (MCI) are common in older adults, but their prevalence is not well understood and challenging to assess in large population-based studies. </w:t>
      </w:r>
      <w:r>
        <w:rPr>
          <w:b/>
          <w:bCs/>
        </w:rPr>
        <w:t>Objective:</w:t>
      </w:r>
      <w:r>
        <w:t xml:space="preserve"> Describe the prevalence of MCI and dementia in the Health and Retirement Study (HRS), using a novel approach to classifying dementia informed by the recently completed wave 1 of the Harmonized Cognitive Assessment Protocol (HCAP) study. </w:t>
      </w:r>
      <w:r>
        <w:rPr>
          <w:b/>
          <w:bCs/>
        </w:rPr>
        <w:t>Design:</w:t>
      </w:r>
      <w:r>
        <w:t xml:space="preserve"> Cross-sectional analysis of the 2016 HRS Core sample, validation using existing consensus panel classifications. </w:t>
      </w:r>
      <w:r>
        <w:rPr>
          <w:b/>
          <w:bCs/>
        </w:rPr>
        <w:t>Main Outcomes and Measures:</w:t>
      </w:r>
      <w:r>
        <w:t xml:space="preserve"> The prevalence of dementia and MCI is XYZ and PDQ. Our algorithm shows poor agreement with consensus standard classifications (weighted kappa = 0.33), but this is due to difficulties in reaching agreement regarding mild cognitive impairment, and the agreement statistic is excellent for dementia versus less impaired cognition (kappa = 0.77). </w:t>
      </w:r>
      <w:r>
        <w:rPr>
          <w:b/>
          <w:bCs/>
        </w:rPr>
        <w:t>Conclusions:</w:t>
      </w:r>
      <w:r>
        <w:t xml:space="preserve"> The accurate classification of MCI is challenging in field research settings. This can’t be surprising, because the concept’s originator has steadfastly resisted attempts to operationally define it. Clearly more work is needed to develop a reliable and valid classification of MCI in field studies.</w:t>
      </w:r>
    </w:p>
    <w:p w14:paraId="19FDDFC5" w14:textId="77777777" w:rsidR="00C40BC6" w:rsidRDefault="00000000">
      <w:r>
        <w:br w:type="page"/>
      </w:r>
    </w:p>
    <w:p w14:paraId="3B7E445C" w14:textId="77777777" w:rsidR="00C40BC6" w:rsidRDefault="00000000">
      <w:pPr>
        <w:pStyle w:val="Heading3"/>
      </w:pPr>
      <w:bookmarkStart w:id="0" w:name="outline"/>
      <w:r>
        <w:lastRenderedPageBreak/>
        <w:t>Outline</w:t>
      </w:r>
    </w:p>
    <w:p w14:paraId="7611554F" w14:textId="77777777" w:rsidR="00C40BC6" w:rsidRDefault="00000000">
      <w:pPr>
        <w:pStyle w:val="Compact"/>
        <w:numPr>
          <w:ilvl w:val="0"/>
          <w:numId w:val="149"/>
        </w:numPr>
      </w:pPr>
      <w:r>
        <w:rPr>
          <w:b/>
          <w:bCs/>
        </w:rPr>
        <w:t>Introduction</w:t>
      </w:r>
    </w:p>
    <w:p w14:paraId="1202BA61" w14:textId="77777777" w:rsidR="00C40BC6" w:rsidRDefault="00000000">
      <w:pPr>
        <w:numPr>
          <w:ilvl w:val="1"/>
          <w:numId w:val="150"/>
        </w:numPr>
      </w:pPr>
      <w:r>
        <w:t>Dementia, MCI, field studies</w:t>
      </w:r>
    </w:p>
    <w:p w14:paraId="0DB4C653" w14:textId="77777777" w:rsidR="00C40BC6" w:rsidRDefault="00000000">
      <w:pPr>
        <w:numPr>
          <w:ilvl w:val="1"/>
          <w:numId w:val="150"/>
        </w:numPr>
      </w:pPr>
      <w:r>
        <w:t>HRS: Langa-Weir, Hurd 1 &amp; 2, HCAP</w:t>
      </w:r>
    </w:p>
    <w:p w14:paraId="6B2922A2" w14:textId="77777777" w:rsidR="00C40BC6" w:rsidRDefault="00000000">
      <w:pPr>
        <w:numPr>
          <w:ilvl w:val="1"/>
          <w:numId w:val="150"/>
        </w:numPr>
      </w:pPr>
      <w:r>
        <w:t>This study develops a new classification, termed an “actuarial classification” by Jak/Bondi, of dementia and MCI, following the methods reported in Manly et al (2022) but using only the Core HRS/HCAP cognitive and functional measures.</w:t>
      </w:r>
    </w:p>
    <w:p w14:paraId="2422A1CE" w14:textId="77777777" w:rsidR="00C40BC6" w:rsidRDefault="00000000">
      <w:pPr>
        <w:numPr>
          <w:ilvl w:val="1"/>
          <w:numId w:val="150"/>
        </w:numPr>
      </w:pPr>
      <w:r>
        <w:t>We describe the derivation and reliability of this new classification, and</w:t>
      </w:r>
    </w:p>
    <w:p w14:paraId="5FA6268A" w14:textId="77777777" w:rsidR="00C40BC6" w:rsidRDefault="00000000">
      <w:pPr>
        <w:numPr>
          <w:ilvl w:val="1"/>
          <w:numId w:val="150"/>
        </w:numPr>
      </w:pPr>
      <w:r>
        <w:t>use the new classification to describe the prevalence of dementia and MCI in the Core HRS sample.</w:t>
      </w:r>
    </w:p>
    <w:p w14:paraId="042159A6" w14:textId="77777777" w:rsidR="00C40BC6" w:rsidRDefault="00000000">
      <w:pPr>
        <w:numPr>
          <w:ilvl w:val="1"/>
          <w:numId w:val="150"/>
        </w:numPr>
      </w:pPr>
      <w:r>
        <w:rPr>
          <w:b/>
          <w:bCs/>
        </w:rPr>
        <w:t>Methods</w:t>
      </w:r>
    </w:p>
    <w:p w14:paraId="0E78DCCC" w14:textId="77777777" w:rsidR="00C40BC6" w:rsidRDefault="00000000">
      <w:pPr>
        <w:pStyle w:val="Compact"/>
        <w:numPr>
          <w:ilvl w:val="2"/>
          <w:numId w:val="151"/>
        </w:numPr>
      </w:pPr>
      <w:r>
        <w:t>HRS &amp; HCAP, Subsample (N=2,993) rationale, Normative Reference Group</w:t>
      </w:r>
    </w:p>
    <w:p w14:paraId="4DBB2705" w14:textId="77777777" w:rsidR="00C40BC6" w:rsidRDefault="00000000">
      <w:pPr>
        <w:pStyle w:val="Compact"/>
        <w:numPr>
          <w:ilvl w:val="2"/>
          <w:numId w:val="151"/>
        </w:numPr>
      </w:pPr>
      <w:r>
        <w:t>Measures of cognition</w:t>
      </w:r>
    </w:p>
    <w:p w14:paraId="1FD4CB67" w14:textId="77777777" w:rsidR="00C40BC6" w:rsidRDefault="00000000">
      <w:pPr>
        <w:pStyle w:val="Compact"/>
        <w:numPr>
          <w:ilvl w:val="2"/>
          <w:numId w:val="151"/>
        </w:numPr>
      </w:pPr>
      <w:r>
        <w:t>Derivation of actuarial algorithm described briefly, see Appendix 1 for details</w:t>
      </w:r>
    </w:p>
    <w:p w14:paraId="418BE710" w14:textId="77777777" w:rsidR="00C40BC6" w:rsidRDefault="00000000">
      <w:pPr>
        <w:pStyle w:val="Compact"/>
        <w:numPr>
          <w:ilvl w:val="2"/>
          <w:numId w:val="151"/>
        </w:numPr>
      </w:pPr>
      <w:r>
        <w:t>Agreement with comparator measures and reference standard</w:t>
      </w:r>
    </w:p>
    <w:p w14:paraId="2F2C36F1" w14:textId="77777777" w:rsidR="00C40BC6" w:rsidRDefault="00000000">
      <w:pPr>
        <w:numPr>
          <w:ilvl w:val="1"/>
          <w:numId w:val="150"/>
        </w:numPr>
      </w:pPr>
      <w:r>
        <w:t xml:space="preserve">☐ </w:t>
      </w:r>
      <w:r>
        <w:rPr>
          <w:b/>
          <w:bCs/>
        </w:rPr>
        <w:t>Results</w:t>
      </w:r>
    </w:p>
    <w:p w14:paraId="4E448521" w14:textId="77777777" w:rsidR="00C40BC6" w:rsidRDefault="00000000">
      <w:pPr>
        <w:numPr>
          <w:ilvl w:val="1"/>
          <w:numId w:val="150"/>
        </w:numPr>
      </w:pPr>
      <w:r>
        <w:t>☒ Figure 1, Algorithm</w:t>
      </w:r>
    </w:p>
    <w:p w14:paraId="35B42B11" w14:textId="77777777" w:rsidR="00C40BC6" w:rsidRDefault="00000000">
      <w:pPr>
        <w:numPr>
          <w:ilvl w:val="1"/>
          <w:numId w:val="150"/>
        </w:numPr>
      </w:pPr>
      <w:r>
        <w:t>☒ Table 1, N=20,912, N=2,993; participant characteristics</w:t>
      </w:r>
    </w:p>
    <w:p w14:paraId="5BE4EA1D" w14:textId="77777777" w:rsidR="00C40BC6" w:rsidRDefault="00000000">
      <w:pPr>
        <w:numPr>
          <w:ilvl w:val="1"/>
          <w:numId w:val="150"/>
        </w:numPr>
      </w:pPr>
      <w:r>
        <w:t>☐ Table 2, Cognitive, Functional, Self-report and Proxy data (M (SD))</w:t>
      </w:r>
    </w:p>
    <w:p w14:paraId="77F64A8D" w14:textId="77777777" w:rsidR="00C40BC6" w:rsidRDefault="00000000">
      <w:pPr>
        <w:numPr>
          <w:ilvl w:val="1"/>
          <w:numId w:val="150"/>
        </w:numPr>
      </w:pPr>
      <w:r>
        <w:t>☐ Table 3, Agreement</w:t>
      </w:r>
    </w:p>
    <w:p w14:paraId="3E96F244" w14:textId="77777777" w:rsidR="00C40BC6" w:rsidRDefault="00000000">
      <w:pPr>
        <w:pStyle w:val="Compact"/>
        <w:numPr>
          <w:ilvl w:val="2"/>
          <w:numId w:val="152"/>
        </w:numPr>
      </w:pPr>
      <w:r>
        <w:t xml:space="preserve">HRS/HCAP validation sample (N=50) </w:t>
      </w:r>
      <m:oMath>
        <m:sSub>
          <m:sSubPr>
            <m:ctrlPr>
              <w:rPr>
                <w:rFonts w:ascii="Cambria Math" w:hAnsi="Cambria Math"/>
              </w:rPr>
            </m:ctrlPr>
          </m:sSubPr>
          <m:e>
            <m:r>
              <w:rPr>
                <w:rFonts w:ascii="Cambria Math" w:hAnsi="Cambria Math"/>
              </w:rPr>
              <m:t>κ</m:t>
            </m:r>
          </m:e>
          <m:sub>
            <m:r>
              <w:rPr>
                <w:rFonts w:ascii="Cambria Math" w:hAnsi="Cambria Math"/>
              </w:rPr>
              <m:t>w</m:t>
            </m:r>
          </m:sub>
        </m:sSub>
      </m:oMath>
      <w:r>
        <w:t xml:space="preserve"> = 0.33</w:t>
      </w:r>
    </w:p>
    <w:p w14:paraId="3FD8FBE3" w14:textId="77777777" w:rsidR="00C40BC6" w:rsidRDefault="00000000">
      <w:pPr>
        <w:pStyle w:val="Compact"/>
        <w:numPr>
          <w:ilvl w:val="2"/>
          <w:numId w:val="153"/>
        </w:numPr>
      </w:pPr>
      <w:r>
        <w:t xml:space="preserve">HRS/HCAP actuarial classification (N=2,992) </w:t>
      </w:r>
      <m:oMath>
        <m:sSub>
          <m:sSubPr>
            <m:ctrlPr>
              <w:rPr>
                <w:rFonts w:ascii="Cambria Math" w:hAnsi="Cambria Math"/>
              </w:rPr>
            </m:ctrlPr>
          </m:sSubPr>
          <m:e>
            <m:r>
              <w:rPr>
                <w:rFonts w:ascii="Cambria Math" w:hAnsi="Cambria Math"/>
              </w:rPr>
              <m:t>κ</m:t>
            </m:r>
          </m:e>
          <m:sub>
            <m:r>
              <w:rPr>
                <w:rFonts w:ascii="Cambria Math" w:hAnsi="Cambria Math"/>
              </w:rPr>
              <m:t>w</m:t>
            </m:r>
          </m:sub>
        </m:sSub>
      </m:oMath>
      <w:r>
        <w:t xml:space="preserve"> = 0.51</w:t>
      </w:r>
    </w:p>
    <w:p w14:paraId="0243FD80" w14:textId="77777777" w:rsidR="00C40BC6" w:rsidRDefault="00000000">
      <w:pPr>
        <w:pStyle w:val="Compact"/>
        <w:numPr>
          <w:ilvl w:val="2"/>
          <w:numId w:val="154"/>
        </w:numPr>
      </w:pPr>
      <w:r>
        <w:t xml:space="preserve">HRS Langa-Weir classification (N=2,992) </w:t>
      </w:r>
      <m:oMath>
        <m:sSub>
          <m:sSubPr>
            <m:ctrlPr>
              <w:rPr>
                <w:rFonts w:ascii="Cambria Math" w:hAnsi="Cambria Math"/>
              </w:rPr>
            </m:ctrlPr>
          </m:sSubPr>
          <m:e>
            <m:r>
              <w:rPr>
                <w:rFonts w:ascii="Cambria Math" w:hAnsi="Cambria Math"/>
              </w:rPr>
              <m:t>κ</m:t>
            </m:r>
          </m:e>
          <m:sub>
            <m:r>
              <w:rPr>
                <w:rFonts w:ascii="Cambria Math" w:hAnsi="Cambria Math"/>
              </w:rPr>
              <m:t>w</m:t>
            </m:r>
          </m:sub>
        </m:sSub>
      </m:oMath>
      <w:r>
        <w:t xml:space="preserve"> = 0.57</w:t>
      </w:r>
    </w:p>
    <w:p w14:paraId="0560B64D" w14:textId="77777777" w:rsidR="00C40BC6" w:rsidRDefault="00000000">
      <w:pPr>
        <w:pStyle w:val="Compact"/>
        <w:numPr>
          <w:ilvl w:val="2"/>
          <w:numId w:val="155"/>
        </w:numPr>
      </w:pPr>
      <w:r>
        <w:t>Hurd (N=2,992)</w:t>
      </w:r>
    </w:p>
    <w:p w14:paraId="6A3E4E30" w14:textId="77777777" w:rsidR="00C40BC6" w:rsidRDefault="00000000">
      <w:pPr>
        <w:pStyle w:val="Compact"/>
        <w:numPr>
          <w:ilvl w:val="2"/>
          <w:numId w:val="156"/>
        </w:numPr>
      </w:pPr>
      <w:r>
        <w:t>Hudomiet (N=2,992)</w:t>
      </w:r>
    </w:p>
    <w:p w14:paraId="734A6A56" w14:textId="77777777" w:rsidR="00C40BC6" w:rsidRDefault="00000000">
      <w:pPr>
        <w:numPr>
          <w:ilvl w:val="1"/>
          <w:numId w:val="150"/>
        </w:numPr>
      </w:pPr>
      <w:r>
        <w:t>☐ Table 4, Participant characteristics by dx group</w:t>
      </w:r>
    </w:p>
    <w:p w14:paraId="08DE54D0" w14:textId="77777777" w:rsidR="00C40BC6" w:rsidRDefault="00000000">
      <w:pPr>
        <w:pStyle w:val="Compact"/>
        <w:numPr>
          <w:ilvl w:val="0"/>
          <w:numId w:val="149"/>
        </w:numPr>
      </w:pPr>
      <w:r>
        <w:rPr>
          <w:b/>
          <w:bCs/>
        </w:rPr>
        <w:t>Discussion</w:t>
      </w:r>
    </w:p>
    <w:p w14:paraId="546874DF" w14:textId="77777777" w:rsidR="00C40BC6" w:rsidRDefault="00000000">
      <w:pPr>
        <w:pStyle w:val="Compact"/>
        <w:numPr>
          <w:ilvl w:val="1"/>
          <w:numId w:val="157"/>
        </w:numPr>
      </w:pPr>
      <w:r>
        <w:t xml:space="preserve">Poor-to-fair agreement for 3-way classification of dementia, MCI, and normal cognition with Langa-Weir and HCAP Consensus Panel classification, but </w:t>
      </w:r>
      <w:r>
        <w:rPr>
          <w:b/>
          <w:bCs/>
          <w:i/>
          <w:iCs/>
        </w:rPr>
        <w:t>excellent</w:t>
      </w:r>
      <w:r>
        <w:t xml:space="preserve"> agreement with HRS/HCAP consensus panel dementia (vs MCI or Normal) classification (weighted kappa = 0.77).</w:t>
      </w:r>
    </w:p>
    <w:p w14:paraId="46586986" w14:textId="77777777" w:rsidR="00C40BC6" w:rsidRDefault="00000000">
      <w:pPr>
        <w:pStyle w:val="Compact"/>
        <w:numPr>
          <w:ilvl w:val="1"/>
          <w:numId w:val="157"/>
        </w:numPr>
      </w:pPr>
      <w:r>
        <w:t>☐ Compare to Langa-Weir, Hurd, Hudomiet, Graves NACC, Kasper NHATS/ADAMS</w:t>
      </w:r>
    </w:p>
    <w:p w14:paraId="48D523B4" w14:textId="77777777" w:rsidR="00C40BC6" w:rsidRDefault="00000000">
      <w:pPr>
        <w:pStyle w:val="Compact"/>
        <w:numPr>
          <w:ilvl w:val="1"/>
          <w:numId w:val="157"/>
        </w:numPr>
      </w:pPr>
      <w:r>
        <w:t>☐ Limitations</w:t>
      </w:r>
    </w:p>
    <w:p w14:paraId="33C78B0E" w14:textId="77777777" w:rsidR="00C40BC6" w:rsidRDefault="00000000">
      <w:pPr>
        <w:pStyle w:val="Compact"/>
        <w:numPr>
          <w:ilvl w:val="1"/>
          <w:numId w:val="157"/>
        </w:numPr>
      </w:pPr>
      <w:r>
        <w:t>☐ Strengths of data, methods, approach</w:t>
      </w:r>
    </w:p>
    <w:p w14:paraId="092E69B0" w14:textId="77777777" w:rsidR="00C40BC6" w:rsidRDefault="00000000">
      <w:pPr>
        <w:pStyle w:val="Compact"/>
        <w:numPr>
          <w:ilvl w:val="1"/>
          <w:numId w:val="157"/>
        </w:numPr>
      </w:pPr>
      <w:r>
        <w:t>☐ Implications for future research: hint at other possible approaches (a la Hurd using HCAP algorithm as criterion)</w:t>
      </w:r>
    </w:p>
    <w:p w14:paraId="549930FF" w14:textId="77777777" w:rsidR="00C40BC6" w:rsidRDefault="00000000">
      <w:pPr>
        <w:pStyle w:val="Compact"/>
        <w:numPr>
          <w:ilvl w:val="0"/>
          <w:numId w:val="149"/>
        </w:numPr>
      </w:pPr>
      <w:r>
        <w:t xml:space="preserve">☐ </w:t>
      </w:r>
      <w:r>
        <w:rPr>
          <w:b/>
          <w:bCs/>
        </w:rPr>
        <w:t>Appendices</w:t>
      </w:r>
    </w:p>
    <w:p w14:paraId="13F978FC" w14:textId="77777777" w:rsidR="00C40BC6" w:rsidRDefault="00000000">
      <w:r>
        <w:br w:type="page"/>
      </w:r>
    </w:p>
    <w:p w14:paraId="64A326EC" w14:textId="77777777" w:rsidR="00C40BC6" w:rsidRDefault="00000000">
      <w:pPr>
        <w:pStyle w:val="FirstParagraph"/>
      </w:pPr>
      <w:r>
        <w:rPr>
          <w:b/>
          <w:bCs/>
        </w:rPr>
        <w:lastRenderedPageBreak/>
        <w:t>How well do we do compared to reference standard diagnoses × other classification systems?</w:t>
      </w:r>
    </w:p>
    <w:p w14:paraId="62192198" w14:textId="77777777" w:rsidR="00C40BC6" w:rsidRDefault="00000000">
      <w:pPr>
        <w:pStyle w:val="BodyText"/>
      </w:pPr>
      <w:r>
        <w:t xml:space="preserve">This is for the discussion. The comparisons below tell me that </w:t>
      </w:r>
      <w:r>
        <w:rPr>
          <w:i/>
          <w:iCs/>
        </w:rPr>
        <w:t>the HRS/HCAP actuarial classification as reported in Farron et al (2025) is really good</w:t>
      </w:r>
      <w:r>
        <w:t xml:space="preserve">, but that is not the point of this paper. On the other hand, The </w:t>
      </w:r>
      <w:r>
        <w:rPr>
          <w:b/>
          <w:bCs/>
        </w:rPr>
        <w:t>HRS Core</w:t>
      </w:r>
      <w:r>
        <w:t xml:space="preserve"> actuarial classification:</w:t>
      </w:r>
    </w:p>
    <w:p w14:paraId="792AB9B4" w14:textId="77777777" w:rsidR="00C40BC6" w:rsidRDefault="00000000">
      <w:pPr>
        <w:pStyle w:val="Compact"/>
        <w:numPr>
          <w:ilvl w:val="0"/>
          <w:numId w:val="158"/>
        </w:numPr>
      </w:pPr>
      <w:r>
        <w:t>3-way, with weighted kappa of 0.33, is not good at all relative to other algorithms.</w:t>
      </w:r>
    </w:p>
    <w:p w14:paraId="77232766" w14:textId="77777777" w:rsidR="00C40BC6" w:rsidRDefault="00000000">
      <w:pPr>
        <w:pStyle w:val="Compact"/>
        <w:numPr>
          <w:ilvl w:val="0"/>
          <w:numId w:val="158"/>
        </w:numPr>
      </w:pPr>
      <w:r>
        <w:t xml:space="preserve">But, the classification of dementia vs MCI or Normal is excellent in the HRS Core, </w:t>
      </w:r>
      <w:r>
        <w:rPr>
          <w:b/>
          <w:bCs/>
          <w:i/>
          <w:iCs/>
        </w:rPr>
        <w:t>so far the best we have seen</w:t>
      </w:r>
      <w:r>
        <w:t xml:space="preserve"> among field survey validation exercises, with a weighted kappa of 0.77, and positive predictive value of 0.70, and sensitivity of 0.83.</w:t>
      </w:r>
    </w:p>
    <w:p w14:paraId="1AAB5B62" w14:textId="77777777" w:rsidR="00C40BC6" w:rsidRDefault="00000000">
      <w:pPr>
        <w:pStyle w:val="Compact"/>
        <w:numPr>
          <w:ilvl w:val="0"/>
          <w:numId w:val="158"/>
        </w:numPr>
      </w:pPr>
      <w:r>
        <w:t>Still need to finish comparison with HRS Hurd and Hudomiet classifications</w:t>
      </w:r>
    </w:p>
    <w:p w14:paraId="3ADD84A9" w14:textId="77777777" w:rsidR="00C40BC6" w:rsidRDefault="00000000">
      <w:pPr>
        <w:pStyle w:val="Compact"/>
        <w:numPr>
          <w:ilvl w:val="0"/>
          <w:numId w:val="158"/>
        </w:numPr>
      </w:pPr>
      <w:r>
        <w:t>This means the problem with the HRS Core actuarial classification is: it is not very good at classifying MCI.</w:t>
      </w:r>
    </w:p>
    <w:tbl>
      <w:tblPr>
        <w:tblStyle w:val="Table"/>
        <w:tblW w:w="5000" w:type="pct"/>
        <w:tblLayout w:type="fixed"/>
        <w:tblLook w:val="0020" w:firstRow="1" w:lastRow="0" w:firstColumn="0" w:lastColumn="0" w:noHBand="0" w:noVBand="0"/>
      </w:tblPr>
      <w:tblGrid>
        <w:gridCol w:w="1757"/>
        <w:gridCol w:w="1943"/>
        <w:gridCol w:w="1851"/>
        <w:gridCol w:w="2221"/>
        <w:gridCol w:w="1574"/>
      </w:tblGrid>
      <w:tr w:rsidR="00C40BC6" w14:paraId="48A19281" w14:textId="77777777" w:rsidTr="00C40BC6">
        <w:trPr>
          <w:cnfStyle w:val="100000000000" w:firstRow="1" w:lastRow="0" w:firstColumn="0" w:lastColumn="0" w:oddVBand="0" w:evenVBand="0" w:oddHBand="0" w:evenHBand="0" w:firstRowFirstColumn="0" w:firstRowLastColumn="0" w:lastRowFirstColumn="0" w:lastRowLastColumn="0"/>
          <w:tblHeader/>
        </w:trPr>
        <w:tc>
          <w:tcPr>
            <w:tcW w:w="1489" w:type="dxa"/>
          </w:tcPr>
          <w:p w14:paraId="5F371ADD" w14:textId="77777777" w:rsidR="00C40BC6" w:rsidRDefault="00000000">
            <w:pPr>
              <w:pStyle w:val="Compact"/>
            </w:pPr>
            <w:r>
              <w:rPr>
                <w:b/>
                <w:bCs/>
              </w:rPr>
              <w:t>Source</w:t>
            </w:r>
          </w:p>
        </w:tc>
        <w:tc>
          <w:tcPr>
            <w:tcW w:w="1646" w:type="dxa"/>
          </w:tcPr>
          <w:p w14:paraId="600E7776" w14:textId="77777777" w:rsidR="00C40BC6" w:rsidRDefault="00000000">
            <w:pPr>
              <w:pStyle w:val="Compact"/>
            </w:pPr>
            <w:r>
              <w:rPr>
                <w:b/>
                <w:bCs/>
              </w:rPr>
              <w:t>Sample, N</w:t>
            </w:r>
          </w:p>
        </w:tc>
        <w:tc>
          <w:tcPr>
            <w:tcW w:w="1568" w:type="dxa"/>
          </w:tcPr>
          <w:p w14:paraId="2609C847" w14:textId="77777777" w:rsidR="00C40BC6" w:rsidRDefault="00000000">
            <w:pPr>
              <w:pStyle w:val="Compact"/>
            </w:pPr>
            <w:r>
              <w:rPr>
                <w:b/>
                <w:bCs/>
              </w:rPr>
              <w:t>Classification</w:t>
            </w:r>
          </w:p>
        </w:tc>
        <w:tc>
          <w:tcPr>
            <w:tcW w:w="1881" w:type="dxa"/>
          </w:tcPr>
          <w:p w14:paraId="60552089" w14:textId="77777777" w:rsidR="00C40BC6" w:rsidRDefault="00000000">
            <w:pPr>
              <w:pStyle w:val="Compact"/>
            </w:pPr>
            <w:r>
              <w:rPr>
                <w:b/>
                <w:bCs/>
              </w:rPr>
              <w:t>Criterion</w:t>
            </w:r>
          </w:p>
        </w:tc>
        <w:tc>
          <w:tcPr>
            <w:tcW w:w="1333" w:type="dxa"/>
          </w:tcPr>
          <w:p w14:paraId="3CCE1251" w14:textId="77777777" w:rsidR="00C40BC6" w:rsidRDefault="00000000">
            <w:pPr>
              <w:pStyle w:val="Compact"/>
              <w:jc w:val="center"/>
            </w:pPr>
            <w:r>
              <w:rPr>
                <w:b/>
                <w:bCs/>
              </w:rPr>
              <w:t>Statistic</w:t>
            </w:r>
          </w:p>
        </w:tc>
      </w:tr>
      <w:tr w:rsidR="00C40BC6" w14:paraId="078FCF27" w14:textId="77777777">
        <w:tc>
          <w:tcPr>
            <w:tcW w:w="1489" w:type="dxa"/>
          </w:tcPr>
          <w:p w14:paraId="797E39F9" w14:textId="77777777" w:rsidR="00C40BC6" w:rsidRDefault="00000000">
            <w:pPr>
              <w:pStyle w:val="Compact"/>
            </w:pPr>
            <w:r>
              <w:rPr>
                <w:b/>
                <w:bCs/>
              </w:rPr>
              <w:t>3-way</w:t>
            </w:r>
          </w:p>
        </w:tc>
        <w:tc>
          <w:tcPr>
            <w:tcW w:w="1646" w:type="dxa"/>
          </w:tcPr>
          <w:p w14:paraId="7A8300DC" w14:textId="77777777" w:rsidR="00C40BC6" w:rsidRDefault="00C40BC6">
            <w:pPr>
              <w:pStyle w:val="Compact"/>
            </w:pPr>
          </w:p>
        </w:tc>
        <w:tc>
          <w:tcPr>
            <w:tcW w:w="1568" w:type="dxa"/>
          </w:tcPr>
          <w:p w14:paraId="0EC4FE6C" w14:textId="77777777" w:rsidR="00C40BC6" w:rsidRDefault="00C40BC6">
            <w:pPr>
              <w:pStyle w:val="Compact"/>
            </w:pPr>
          </w:p>
        </w:tc>
        <w:tc>
          <w:tcPr>
            <w:tcW w:w="1881" w:type="dxa"/>
          </w:tcPr>
          <w:p w14:paraId="36612A82" w14:textId="77777777" w:rsidR="00C40BC6" w:rsidRDefault="00C40BC6">
            <w:pPr>
              <w:pStyle w:val="Compact"/>
            </w:pPr>
          </w:p>
        </w:tc>
        <w:tc>
          <w:tcPr>
            <w:tcW w:w="1333" w:type="dxa"/>
          </w:tcPr>
          <w:p w14:paraId="48A89CAF" w14:textId="77777777" w:rsidR="00C40BC6" w:rsidRDefault="00C40BC6">
            <w:pPr>
              <w:pStyle w:val="Compact"/>
            </w:pPr>
          </w:p>
        </w:tc>
      </w:tr>
      <w:tr w:rsidR="00C40BC6" w14:paraId="157A7A09" w14:textId="77777777">
        <w:tc>
          <w:tcPr>
            <w:tcW w:w="1489" w:type="dxa"/>
          </w:tcPr>
          <w:p w14:paraId="330ABC06" w14:textId="77777777" w:rsidR="00C40BC6" w:rsidRDefault="00000000">
            <w:pPr>
              <w:pStyle w:val="Compact"/>
            </w:pPr>
            <w:r>
              <w:t>Farron et al (2025)</w:t>
            </w:r>
          </w:p>
        </w:tc>
        <w:tc>
          <w:tcPr>
            <w:tcW w:w="1646" w:type="dxa"/>
          </w:tcPr>
          <w:p w14:paraId="3DDBF624" w14:textId="77777777" w:rsidR="00C40BC6" w:rsidRDefault="00000000">
            <w:pPr>
              <w:pStyle w:val="Compact"/>
            </w:pPr>
            <w:r>
              <w:t>HRS/HCAP validation (N=50)</w:t>
            </w:r>
          </w:p>
        </w:tc>
        <w:tc>
          <w:tcPr>
            <w:tcW w:w="1568" w:type="dxa"/>
          </w:tcPr>
          <w:p w14:paraId="3A7E9341" w14:textId="77777777" w:rsidR="00C40BC6" w:rsidRDefault="00000000">
            <w:pPr>
              <w:pStyle w:val="Compact"/>
            </w:pPr>
            <w:r>
              <w:t>Normal, MCI, Dementia (actuarial)</w:t>
            </w:r>
          </w:p>
        </w:tc>
        <w:tc>
          <w:tcPr>
            <w:tcW w:w="1881" w:type="dxa"/>
          </w:tcPr>
          <w:p w14:paraId="24E3E5BA" w14:textId="77777777" w:rsidR="00C40BC6" w:rsidRDefault="00000000">
            <w:pPr>
              <w:pStyle w:val="Compact"/>
            </w:pPr>
            <w:r>
              <w:t>HCAP Consensus Panel</w:t>
            </w:r>
          </w:p>
        </w:tc>
        <w:tc>
          <w:tcPr>
            <w:tcW w:w="1333" w:type="dxa"/>
          </w:tcPr>
          <w:p w14:paraId="55F0E47D" w14:textId="77777777" w:rsidR="00C40BC6" w:rsidRDefault="00000000">
            <w:pPr>
              <w:pStyle w:val="Compact"/>
              <w:jc w:val="center"/>
            </w:pPr>
            <m:oMath>
              <m:sSub>
                <m:sSubPr>
                  <m:ctrlPr>
                    <w:rPr>
                      <w:rFonts w:ascii="Cambria Math" w:hAnsi="Cambria Math"/>
                    </w:rPr>
                  </m:ctrlPr>
                </m:sSubPr>
                <m:e>
                  <m:r>
                    <w:rPr>
                      <w:rFonts w:ascii="Cambria Math" w:hAnsi="Cambria Math"/>
                    </w:rPr>
                    <m:t>κ</m:t>
                  </m:r>
                </m:e>
                <m:sub>
                  <m:r>
                    <w:rPr>
                      <w:rFonts w:ascii="Cambria Math" w:hAnsi="Cambria Math"/>
                    </w:rPr>
                    <m:t>w</m:t>
                  </m:r>
                </m:sub>
              </m:sSub>
            </m:oMath>
            <w:r>
              <w:t xml:space="preserve"> =0.75</w:t>
            </w:r>
          </w:p>
        </w:tc>
      </w:tr>
      <w:tr w:rsidR="00C40BC6" w14:paraId="1AB37219" w14:textId="77777777">
        <w:tc>
          <w:tcPr>
            <w:tcW w:w="1489" w:type="dxa"/>
          </w:tcPr>
          <w:p w14:paraId="16A870F5" w14:textId="77777777" w:rsidR="00C40BC6" w:rsidRDefault="00C40BC6">
            <w:pPr>
              <w:pStyle w:val="Compact"/>
            </w:pPr>
          </w:p>
        </w:tc>
        <w:tc>
          <w:tcPr>
            <w:tcW w:w="1646" w:type="dxa"/>
          </w:tcPr>
          <w:p w14:paraId="570217A2" w14:textId="77777777" w:rsidR="00C40BC6" w:rsidRDefault="00C40BC6">
            <w:pPr>
              <w:pStyle w:val="Compact"/>
            </w:pPr>
          </w:p>
        </w:tc>
        <w:tc>
          <w:tcPr>
            <w:tcW w:w="1568" w:type="dxa"/>
          </w:tcPr>
          <w:p w14:paraId="06517746" w14:textId="77777777" w:rsidR="00C40BC6" w:rsidRDefault="00C40BC6">
            <w:pPr>
              <w:pStyle w:val="Compact"/>
            </w:pPr>
          </w:p>
        </w:tc>
        <w:tc>
          <w:tcPr>
            <w:tcW w:w="1881" w:type="dxa"/>
          </w:tcPr>
          <w:p w14:paraId="7E596E99" w14:textId="77777777" w:rsidR="00C40BC6" w:rsidRDefault="00C40BC6">
            <w:pPr>
              <w:pStyle w:val="Compact"/>
            </w:pPr>
          </w:p>
        </w:tc>
        <w:tc>
          <w:tcPr>
            <w:tcW w:w="1333" w:type="dxa"/>
          </w:tcPr>
          <w:p w14:paraId="47F4F04C" w14:textId="77777777" w:rsidR="00C40BC6" w:rsidRDefault="00C40BC6">
            <w:pPr>
              <w:pStyle w:val="Compact"/>
            </w:pPr>
          </w:p>
        </w:tc>
      </w:tr>
      <w:tr w:rsidR="00C40BC6" w14:paraId="63580241" w14:textId="77777777">
        <w:tc>
          <w:tcPr>
            <w:tcW w:w="1489" w:type="dxa"/>
          </w:tcPr>
          <w:p w14:paraId="712CDE6E" w14:textId="77777777" w:rsidR="00C40BC6" w:rsidRDefault="00000000">
            <w:pPr>
              <w:pStyle w:val="Compact"/>
            </w:pPr>
            <w:r>
              <w:t>Graves et al (2020)</w:t>
            </w:r>
          </w:p>
        </w:tc>
        <w:tc>
          <w:tcPr>
            <w:tcW w:w="1646" w:type="dxa"/>
          </w:tcPr>
          <w:p w14:paraId="615E0863" w14:textId="77777777" w:rsidR="00C40BC6" w:rsidRDefault="00000000">
            <w:pPr>
              <w:pStyle w:val="Compact"/>
            </w:pPr>
            <w:r>
              <w:t>NACC (N=1524)</w:t>
            </w:r>
          </w:p>
        </w:tc>
        <w:tc>
          <w:tcPr>
            <w:tcW w:w="1568" w:type="dxa"/>
          </w:tcPr>
          <w:p w14:paraId="6F74A37D" w14:textId="77777777" w:rsidR="00C40BC6" w:rsidRDefault="00000000">
            <w:pPr>
              <w:pStyle w:val="Compact"/>
            </w:pPr>
            <w:r>
              <w:t>Normal, MCI, Dementia (actuarial)</w:t>
            </w:r>
          </w:p>
        </w:tc>
        <w:tc>
          <w:tcPr>
            <w:tcW w:w="1881" w:type="dxa"/>
          </w:tcPr>
          <w:p w14:paraId="68B0F755" w14:textId="77777777" w:rsidR="00C40BC6" w:rsidRDefault="00000000">
            <w:pPr>
              <w:pStyle w:val="Compact"/>
            </w:pPr>
            <w:r>
              <w:t>NACC Consensus diagnoses</w:t>
            </w:r>
          </w:p>
        </w:tc>
        <w:tc>
          <w:tcPr>
            <w:tcW w:w="1333" w:type="dxa"/>
          </w:tcPr>
          <w:p w14:paraId="680D5A8F" w14:textId="77777777" w:rsidR="00C40BC6" w:rsidRDefault="00000000">
            <w:pPr>
              <w:pStyle w:val="Compact"/>
              <w:jc w:val="center"/>
            </w:pPr>
            <m:oMath>
              <m:sSub>
                <m:sSubPr>
                  <m:ctrlPr>
                    <w:rPr>
                      <w:rFonts w:ascii="Cambria Math" w:hAnsi="Cambria Math"/>
                    </w:rPr>
                  </m:ctrlPr>
                </m:sSubPr>
                <m:e>
                  <m:r>
                    <w:rPr>
                      <w:rFonts w:ascii="Cambria Math" w:hAnsi="Cambria Math"/>
                    </w:rPr>
                    <m:t>κ</m:t>
                  </m:r>
                </m:e>
                <m:sub>
                  <m:r>
                    <w:rPr>
                      <w:rFonts w:ascii="Cambria Math" w:hAnsi="Cambria Math"/>
                    </w:rPr>
                    <m:t>w</m:t>
                  </m:r>
                </m:sub>
              </m:sSub>
            </m:oMath>
            <w:r>
              <w:t xml:space="preserve"> =0.54</w:t>
            </w:r>
          </w:p>
        </w:tc>
      </w:tr>
      <w:tr w:rsidR="00C40BC6" w14:paraId="6C795E6C" w14:textId="77777777">
        <w:tc>
          <w:tcPr>
            <w:tcW w:w="1489" w:type="dxa"/>
          </w:tcPr>
          <w:p w14:paraId="425B5D71" w14:textId="77777777" w:rsidR="00C40BC6" w:rsidRDefault="00C40BC6">
            <w:pPr>
              <w:pStyle w:val="Compact"/>
            </w:pPr>
          </w:p>
        </w:tc>
        <w:tc>
          <w:tcPr>
            <w:tcW w:w="1646" w:type="dxa"/>
          </w:tcPr>
          <w:p w14:paraId="461C8C1F" w14:textId="77777777" w:rsidR="00C40BC6" w:rsidRDefault="00C40BC6">
            <w:pPr>
              <w:pStyle w:val="Compact"/>
            </w:pPr>
          </w:p>
        </w:tc>
        <w:tc>
          <w:tcPr>
            <w:tcW w:w="1568" w:type="dxa"/>
          </w:tcPr>
          <w:p w14:paraId="50385375" w14:textId="77777777" w:rsidR="00C40BC6" w:rsidRDefault="00C40BC6">
            <w:pPr>
              <w:pStyle w:val="Compact"/>
            </w:pPr>
          </w:p>
        </w:tc>
        <w:tc>
          <w:tcPr>
            <w:tcW w:w="1881" w:type="dxa"/>
          </w:tcPr>
          <w:p w14:paraId="1BE69350" w14:textId="77777777" w:rsidR="00C40BC6" w:rsidRDefault="00C40BC6">
            <w:pPr>
              <w:pStyle w:val="Compact"/>
            </w:pPr>
          </w:p>
        </w:tc>
        <w:tc>
          <w:tcPr>
            <w:tcW w:w="1333" w:type="dxa"/>
          </w:tcPr>
          <w:p w14:paraId="77AE1570" w14:textId="77777777" w:rsidR="00C40BC6" w:rsidRDefault="00C40BC6">
            <w:pPr>
              <w:pStyle w:val="Compact"/>
            </w:pPr>
          </w:p>
        </w:tc>
      </w:tr>
      <w:tr w:rsidR="00C40BC6" w14:paraId="14659F40" w14:textId="77777777">
        <w:tc>
          <w:tcPr>
            <w:tcW w:w="1489" w:type="dxa"/>
          </w:tcPr>
          <w:p w14:paraId="0728554A" w14:textId="77777777" w:rsidR="00C40BC6" w:rsidRDefault="00000000">
            <w:pPr>
              <w:pStyle w:val="Compact"/>
            </w:pPr>
            <w:r>
              <w:t>Kasper et al (2013)</w:t>
            </w:r>
          </w:p>
        </w:tc>
        <w:tc>
          <w:tcPr>
            <w:tcW w:w="1646" w:type="dxa"/>
          </w:tcPr>
          <w:p w14:paraId="315CBBB2" w14:textId="77777777" w:rsidR="00C40BC6" w:rsidRDefault="00000000">
            <w:pPr>
              <w:pStyle w:val="Compact"/>
            </w:pPr>
            <w:r>
              <w:t>ADAMS subsample (N=121)</w:t>
            </w:r>
          </w:p>
        </w:tc>
        <w:tc>
          <w:tcPr>
            <w:tcW w:w="1568" w:type="dxa"/>
          </w:tcPr>
          <w:p w14:paraId="4D995DE6" w14:textId="77777777" w:rsidR="00C40BC6" w:rsidRDefault="00000000">
            <w:pPr>
              <w:pStyle w:val="Compact"/>
            </w:pPr>
            <w:r>
              <w:t>Probable, Possible, Unlikely Dementia (NHATS algorithm)</w:t>
            </w:r>
          </w:p>
        </w:tc>
        <w:tc>
          <w:tcPr>
            <w:tcW w:w="1881" w:type="dxa"/>
          </w:tcPr>
          <w:p w14:paraId="0FB43047" w14:textId="77777777" w:rsidR="00C40BC6" w:rsidRDefault="00000000">
            <w:pPr>
              <w:pStyle w:val="Compact"/>
            </w:pPr>
            <w:r>
              <w:t>ADAMS Consensus diagnoses</w:t>
            </w:r>
          </w:p>
        </w:tc>
        <w:tc>
          <w:tcPr>
            <w:tcW w:w="1333" w:type="dxa"/>
          </w:tcPr>
          <w:p w14:paraId="0EACC09A" w14:textId="77777777" w:rsidR="00C40BC6" w:rsidRDefault="00000000">
            <w:pPr>
              <w:pStyle w:val="Compact"/>
              <w:jc w:val="center"/>
            </w:pPr>
            <m:oMath>
              <m:sSub>
                <m:sSubPr>
                  <m:ctrlPr>
                    <w:rPr>
                      <w:rFonts w:ascii="Cambria Math" w:hAnsi="Cambria Math"/>
                    </w:rPr>
                  </m:ctrlPr>
                </m:sSubPr>
                <m:e>
                  <m:r>
                    <w:rPr>
                      <w:rFonts w:ascii="Cambria Math" w:hAnsi="Cambria Math"/>
                    </w:rPr>
                    <m:t>κ</m:t>
                  </m:r>
                </m:e>
                <m:sub>
                  <m:r>
                    <w:rPr>
                      <w:rFonts w:ascii="Cambria Math" w:hAnsi="Cambria Math"/>
                    </w:rPr>
                    <m:t>w</m:t>
                  </m:r>
                </m:sub>
              </m:sSub>
            </m:oMath>
            <w:r>
              <w:t xml:space="preserve"> =0.67</w:t>
            </w:r>
          </w:p>
        </w:tc>
      </w:tr>
      <w:tr w:rsidR="00C40BC6" w14:paraId="76A7B2E8" w14:textId="77777777">
        <w:tc>
          <w:tcPr>
            <w:tcW w:w="1489" w:type="dxa"/>
          </w:tcPr>
          <w:p w14:paraId="199B22C9" w14:textId="77777777" w:rsidR="00C40BC6" w:rsidRDefault="00C40BC6">
            <w:pPr>
              <w:pStyle w:val="Compact"/>
            </w:pPr>
          </w:p>
        </w:tc>
        <w:tc>
          <w:tcPr>
            <w:tcW w:w="1646" w:type="dxa"/>
          </w:tcPr>
          <w:p w14:paraId="6F9225E6" w14:textId="77777777" w:rsidR="00C40BC6" w:rsidRDefault="00C40BC6">
            <w:pPr>
              <w:pStyle w:val="Compact"/>
            </w:pPr>
          </w:p>
        </w:tc>
        <w:tc>
          <w:tcPr>
            <w:tcW w:w="1568" w:type="dxa"/>
          </w:tcPr>
          <w:p w14:paraId="54C4E130" w14:textId="77777777" w:rsidR="00C40BC6" w:rsidRDefault="00C40BC6">
            <w:pPr>
              <w:pStyle w:val="Compact"/>
            </w:pPr>
          </w:p>
        </w:tc>
        <w:tc>
          <w:tcPr>
            <w:tcW w:w="1881" w:type="dxa"/>
          </w:tcPr>
          <w:p w14:paraId="1FFFD936" w14:textId="77777777" w:rsidR="00C40BC6" w:rsidRDefault="00C40BC6">
            <w:pPr>
              <w:pStyle w:val="Compact"/>
            </w:pPr>
          </w:p>
        </w:tc>
        <w:tc>
          <w:tcPr>
            <w:tcW w:w="1333" w:type="dxa"/>
          </w:tcPr>
          <w:p w14:paraId="353CC03D" w14:textId="77777777" w:rsidR="00C40BC6" w:rsidRDefault="00C40BC6">
            <w:pPr>
              <w:pStyle w:val="Compact"/>
            </w:pPr>
          </w:p>
        </w:tc>
      </w:tr>
      <w:tr w:rsidR="00C40BC6" w14:paraId="1A957F63" w14:textId="77777777">
        <w:tc>
          <w:tcPr>
            <w:tcW w:w="1489" w:type="dxa"/>
          </w:tcPr>
          <w:p w14:paraId="1A876AD1" w14:textId="77777777" w:rsidR="00C40BC6" w:rsidRDefault="00000000">
            <w:pPr>
              <w:pStyle w:val="Compact"/>
            </w:pPr>
            <w:r>
              <w:t>This paper (2026)</w:t>
            </w:r>
          </w:p>
        </w:tc>
        <w:tc>
          <w:tcPr>
            <w:tcW w:w="1646" w:type="dxa"/>
          </w:tcPr>
          <w:p w14:paraId="5819830E" w14:textId="77777777" w:rsidR="00C40BC6" w:rsidRDefault="00000000">
            <w:pPr>
              <w:pStyle w:val="Compact"/>
            </w:pPr>
            <w:r>
              <w:t>HRS Core (HCAP validation, N=50)</w:t>
            </w:r>
          </w:p>
        </w:tc>
        <w:tc>
          <w:tcPr>
            <w:tcW w:w="1568" w:type="dxa"/>
          </w:tcPr>
          <w:p w14:paraId="65C59397" w14:textId="77777777" w:rsidR="00C40BC6" w:rsidRDefault="00000000">
            <w:pPr>
              <w:pStyle w:val="Compact"/>
            </w:pPr>
            <w:r>
              <w:t>Normal, MCI, Dementia (actuarial)</w:t>
            </w:r>
          </w:p>
        </w:tc>
        <w:tc>
          <w:tcPr>
            <w:tcW w:w="1881" w:type="dxa"/>
          </w:tcPr>
          <w:p w14:paraId="67BBEA16" w14:textId="77777777" w:rsidR="00C40BC6" w:rsidRDefault="00000000">
            <w:pPr>
              <w:pStyle w:val="Compact"/>
            </w:pPr>
            <w:r>
              <w:t>HRS/HCAP Consensus Panel</w:t>
            </w:r>
          </w:p>
        </w:tc>
        <w:tc>
          <w:tcPr>
            <w:tcW w:w="1333" w:type="dxa"/>
          </w:tcPr>
          <w:p w14:paraId="2F102CDA" w14:textId="77777777" w:rsidR="00C40BC6" w:rsidRDefault="00000000">
            <w:pPr>
              <w:pStyle w:val="Compact"/>
              <w:jc w:val="center"/>
            </w:pPr>
            <m:oMath>
              <m:sSub>
                <m:sSubPr>
                  <m:ctrlPr>
                    <w:rPr>
                      <w:rFonts w:ascii="Cambria Math" w:hAnsi="Cambria Math"/>
                    </w:rPr>
                  </m:ctrlPr>
                </m:sSubPr>
                <m:e>
                  <m:r>
                    <w:rPr>
                      <w:rFonts w:ascii="Cambria Math" w:hAnsi="Cambria Math"/>
                    </w:rPr>
                    <m:t>κ</m:t>
                  </m:r>
                </m:e>
                <m:sub>
                  <m:r>
                    <w:rPr>
                      <w:rFonts w:ascii="Cambria Math" w:hAnsi="Cambria Math"/>
                    </w:rPr>
                    <m:t>w</m:t>
                  </m:r>
                </m:sub>
              </m:sSub>
            </m:oMath>
            <w:r>
              <w:t xml:space="preserve"> =0.33</w:t>
            </w:r>
          </w:p>
        </w:tc>
      </w:tr>
      <w:tr w:rsidR="00C40BC6" w14:paraId="6274BEED" w14:textId="77777777">
        <w:tc>
          <w:tcPr>
            <w:tcW w:w="1489" w:type="dxa"/>
          </w:tcPr>
          <w:p w14:paraId="7444CAC9" w14:textId="77777777" w:rsidR="00C40BC6" w:rsidRDefault="00C40BC6">
            <w:pPr>
              <w:pStyle w:val="Compact"/>
            </w:pPr>
          </w:p>
        </w:tc>
        <w:tc>
          <w:tcPr>
            <w:tcW w:w="1646" w:type="dxa"/>
          </w:tcPr>
          <w:p w14:paraId="0E246859" w14:textId="77777777" w:rsidR="00C40BC6" w:rsidRDefault="00C40BC6">
            <w:pPr>
              <w:pStyle w:val="Compact"/>
            </w:pPr>
          </w:p>
        </w:tc>
        <w:tc>
          <w:tcPr>
            <w:tcW w:w="1568" w:type="dxa"/>
          </w:tcPr>
          <w:p w14:paraId="25C3E464" w14:textId="77777777" w:rsidR="00C40BC6" w:rsidRDefault="00C40BC6">
            <w:pPr>
              <w:pStyle w:val="Compact"/>
            </w:pPr>
          </w:p>
        </w:tc>
        <w:tc>
          <w:tcPr>
            <w:tcW w:w="1881" w:type="dxa"/>
          </w:tcPr>
          <w:p w14:paraId="671DA3CC" w14:textId="77777777" w:rsidR="00C40BC6" w:rsidRDefault="00C40BC6">
            <w:pPr>
              <w:pStyle w:val="Compact"/>
            </w:pPr>
          </w:p>
        </w:tc>
        <w:tc>
          <w:tcPr>
            <w:tcW w:w="1333" w:type="dxa"/>
          </w:tcPr>
          <w:p w14:paraId="7721B048" w14:textId="77777777" w:rsidR="00C40BC6" w:rsidRDefault="00C40BC6">
            <w:pPr>
              <w:pStyle w:val="Compact"/>
            </w:pPr>
          </w:p>
        </w:tc>
      </w:tr>
      <w:tr w:rsidR="00C40BC6" w14:paraId="04A82E8C" w14:textId="77777777">
        <w:tc>
          <w:tcPr>
            <w:tcW w:w="1489" w:type="dxa"/>
          </w:tcPr>
          <w:p w14:paraId="33CD8535" w14:textId="77777777" w:rsidR="00C40BC6" w:rsidRDefault="00000000">
            <w:pPr>
              <w:pStyle w:val="Compact"/>
            </w:pPr>
            <w:r>
              <w:t>This paper (2026)</w:t>
            </w:r>
          </w:p>
        </w:tc>
        <w:tc>
          <w:tcPr>
            <w:tcW w:w="1646" w:type="dxa"/>
          </w:tcPr>
          <w:p w14:paraId="6E7C0670" w14:textId="77777777" w:rsidR="00C40BC6" w:rsidRDefault="00000000">
            <w:pPr>
              <w:pStyle w:val="Compact"/>
            </w:pPr>
            <w:r>
              <w:t>HRS Core (HCAP validation, N=50)</w:t>
            </w:r>
          </w:p>
        </w:tc>
        <w:tc>
          <w:tcPr>
            <w:tcW w:w="1568" w:type="dxa"/>
          </w:tcPr>
          <w:p w14:paraId="270FDBC5" w14:textId="77777777" w:rsidR="00C40BC6" w:rsidRDefault="00000000">
            <w:pPr>
              <w:pStyle w:val="Compact"/>
            </w:pPr>
            <w:r>
              <w:t>Normal, MCI, Dementia (Langa-Weir)</w:t>
            </w:r>
          </w:p>
        </w:tc>
        <w:tc>
          <w:tcPr>
            <w:tcW w:w="1881" w:type="dxa"/>
          </w:tcPr>
          <w:p w14:paraId="266EC965" w14:textId="77777777" w:rsidR="00C40BC6" w:rsidRDefault="00000000">
            <w:pPr>
              <w:pStyle w:val="Compact"/>
            </w:pPr>
            <w:r>
              <w:t>HRS/HCAP Consensus Panel</w:t>
            </w:r>
          </w:p>
        </w:tc>
        <w:tc>
          <w:tcPr>
            <w:tcW w:w="1333" w:type="dxa"/>
          </w:tcPr>
          <w:p w14:paraId="0330DD58" w14:textId="77777777" w:rsidR="00C40BC6" w:rsidRDefault="00000000">
            <w:pPr>
              <w:pStyle w:val="Compact"/>
              <w:jc w:val="center"/>
            </w:pPr>
            <m:oMath>
              <m:sSub>
                <m:sSubPr>
                  <m:ctrlPr>
                    <w:rPr>
                      <w:rFonts w:ascii="Cambria Math" w:hAnsi="Cambria Math"/>
                    </w:rPr>
                  </m:ctrlPr>
                </m:sSubPr>
                <m:e>
                  <m:r>
                    <w:rPr>
                      <w:rFonts w:ascii="Cambria Math" w:hAnsi="Cambria Math"/>
                    </w:rPr>
                    <m:t>κ</m:t>
                  </m:r>
                </m:e>
                <m:sub>
                  <m:r>
                    <w:rPr>
                      <w:rFonts w:ascii="Cambria Math" w:hAnsi="Cambria Math"/>
                    </w:rPr>
                    <m:t>w</m:t>
                  </m:r>
                </m:sub>
              </m:sSub>
            </m:oMath>
            <w:r>
              <w:t xml:space="preserve"> =?</w:t>
            </w:r>
          </w:p>
        </w:tc>
      </w:tr>
      <w:tr w:rsidR="00C40BC6" w14:paraId="33B4ED90" w14:textId="77777777">
        <w:tc>
          <w:tcPr>
            <w:tcW w:w="1489" w:type="dxa"/>
          </w:tcPr>
          <w:p w14:paraId="430E5F78" w14:textId="77777777" w:rsidR="00C40BC6" w:rsidRDefault="00C40BC6">
            <w:pPr>
              <w:pStyle w:val="Compact"/>
            </w:pPr>
          </w:p>
        </w:tc>
        <w:tc>
          <w:tcPr>
            <w:tcW w:w="1646" w:type="dxa"/>
          </w:tcPr>
          <w:p w14:paraId="19714852" w14:textId="77777777" w:rsidR="00C40BC6" w:rsidRDefault="00C40BC6">
            <w:pPr>
              <w:pStyle w:val="Compact"/>
            </w:pPr>
          </w:p>
        </w:tc>
        <w:tc>
          <w:tcPr>
            <w:tcW w:w="1568" w:type="dxa"/>
          </w:tcPr>
          <w:p w14:paraId="29F039CC" w14:textId="77777777" w:rsidR="00C40BC6" w:rsidRDefault="00C40BC6">
            <w:pPr>
              <w:pStyle w:val="Compact"/>
            </w:pPr>
          </w:p>
        </w:tc>
        <w:tc>
          <w:tcPr>
            <w:tcW w:w="1881" w:type="dxa"/>
          </w:tcPr>
          <w:p w14:paraId="7FE60FF0" w14:textId="77777777" w:rsidR="00C40BC6" w:rsidRDefault="00C40BC6">
            <w:pPr>
              <w:pStyle w:val="Compact"/>
            </w:pPr>
          </w:p>
        </w:tc>
        <w:tc>
          <w:tcPr>
            <w:tcW w:w="1333" w:type="dxa"/>
          </w:tcPr>
          <w:p w14:paraId="37FE594F" w14:textId="77777777" w:rsidR="00C40BC6" w:rsidRDefault="00C40BC6">
            <w:pPr>
              <w:pStyle w:val="Compact"/>
            </w:pPr>
          </w:p>
        </w:tc>
      </w:tr>
      <w:tr w:rsidR="00C40BC6" w14:paraId="4BC2814C" w14:textId="77777777">
        <w:tc>
          <w:tcPr>
            <w:tcW w:w="1489" w:type="dxa"/>
          </w:tcPr>
          <w:p w14:paraId="3F0A7A30" w14:textId="77777777" w:rsidR="00C40BC6" w:rsidRDefault="00000000">
            <w:pPr>
              <w:pStyle w:val="Compact"/>
            </w:pPr>
            <w:r>
              <w:rPr>
                <w:b/>
                <w:bCs/>
              </w:rPr>
              <w:t>2-way</w:t>
            </w:r>
          </w:p>
        </w:tc>
        <w:tc>
          <w:tcPr>
            <w:tcW w:w="1646" w:type="dxa"/>
          </w:tcPr>
          <w:p w14:paraId="0FFE6B37" w14:textId="77777777" w:rsidR="00C40BC6" w:rsidRDefault="00C40BC6">
            <w:pPr>
              <w:pStyle w:val="Compact"/>
            </w:pPr>
          </w:p>
        </w:tc>
        <w:tc>
          <w:tcPr>
            <w:tcW w:w="1568" w:type="dxa"/>
          </w:tcPr>
          <w:p w14:paraId="2E63E669" w14:textId="77777777" w:rsidR="00C40BC6" w:rsidRDefault="00C40BC6">
            <w:pPr>
              <w:pStyle w:val="Compact"/>
            </w:pPr>
          </w:p>
        </w:tc>
        <w:tc>
          <w:tcPr>
            <w:tcW w:w="1881" w:type="dxa"/>
          </w:tcPr>
          <w:p w14:paraId="498B2448" w14:textId="77777777" w:rsidR="00C40BC6" w:rsidRDefault="00C40BC6">
            <w:pPr>
              <w:pStyle w:val="Compact"/>
            </w:pPr>
          </w:p>
        </w:tc>
        <w:tc>
          <w:tcPr>
            <w:tcW w:w="1333" w:type="dxa"/>
          </w:tcPr>
          <w:p w14:paraId="79FBCBB3" w14:textId="77777777" w:rsidR="00C40BC6" w:rsidRDefault="00C40BC6">
            <w:pPr>
              <w:pStyle w:val="Compact"/>
            </w:pPr>
          </w:p>
        </w:tc>
      </w:tr>
      <w:tr w:rsidR="00C40BC6" w14:paraId="455EE002" w14:textId="77777777">
        <w:tc>
          <w:tcPr>
            <w:tcW w:w="1489" w:type="dxa"/>
          </w:tcPr>
          <w:p w14:paraId="7FE71068" w14:textId="77777777" w:rsidR="00C40BC6" w:rsidRDefault="00000000">
            <w:pPr>
              <w:pStyle w:val="Compact"/>
            </w:pPr>
            <w:r>
              <w:t>This paper (2026)</w:t>
            </w:r>
          </w:p>
        </w:tc>
        <w:tc>
          <w:tcPr>
            <w:tcW w:w="1646" w:type="dxa"/>
          </w:tcPr>
          <w:p w14:paraId="5E6D50C7" w14:textId="77777777" w:rsidR="00C40BC6" w:rsidRDefault="00000000">
            <w:pPr>
              <w:pStyle w:val="Compact"/>
            </w:pPr>
            <w:r>
              <w:t>HRS Core (HCAP validation, N=50)</w:t>
            </w:r>
          </w:p>
        </w:tc>
        <w:tc>
          <w:tcPr>
            <w:tcW w:w="1568" w:type="dxa"/>
          </w:tcPr>
          <w:p w14:paraId="22C0CAD2" w14:textId="77777777" w:rsidR="00C40BC6" w:rsidRDefault="00000000">
            <w:pPr>
              <w:pStyle w:val="Compact"/>
            </w:pPr>
            <w:r>
              <w:t>Dementia (actuarial)</w:t>
            </w:r>
          </w:p>
        </w:tc>
        <w:tc>
          <w:tcPr>
            <w:tcW w:w="1881" w:type="dxa"/>
          </w:tcPr>
          <w:p w14:paraId="59319CAD" w14:textId="77777777" w:rsidR="00C40BC6" w:rsidRDefault="00000000">
            <w:pPr>
              <w:pStyle w:val="Compact"/>
            </w:pPr>
            <w:r>
              <w:t>HRS/HCAP Consensus</w:t>
            </w:r>
          </w:p>
        </w:tc>
        <w:tc>
          <w:tcPr>
            <w:tcW w:w="1333" w:type="dxa"/>
          </w:tcPr>
          <w:p w14:paraId="5F547023" w14:textId="77777777" w:rsidR="00C40BC6" w:rsidRDefault="00000000">
            <w:pPr>
              <w:pStyle w:val="Compact"/>
              <w:jc w:val="center"/>
            </w:pPr>
            <m:oMath>
              <m:r>
                <w:rPr>
                  <w:rFonts w:ascii="Cambria Math" w:hAnsi="Cambria Math"/>
                </w:rPr>
                <m:t>κ</m:t>
              </m:r>
            </m:oMath>
            <w:r>
              <w:t xml:space="preserve"> =0.77</w:t>
            </w:r>
          </w:p>
        </w:tc>
      </w:tr>
      <w:tr w:rsidR="00C40BC6" w14:paraId="4B2CEE75" w14:textId="77777777">
        <w:tc>
          <w:tcPr>
            <w:tcW w:w="1489" w:type="dxa"/>
          </w:tcPr>
          <w:p w14:paraId="63C478C7" w14:textId="77777777" w:rsidR="00C40BC6" w:rsidRDefault="00C40BC6">
            <w:pPr>
              <w:pStyle w:val="Compact"/>
            </w:pPr>
          </w:p>
        </w:tc>
        <w:tc>
          <w:tcPr>
            <w:tcW w:w="1646" w:type="dxa"/>
          </w:tcPr>
          <w:p w14:paraId="035A5226" w14:textId="77777777" w:rsidR="00C40BC6" w:rsidRDefault="00C40BC6">
            <w:pPr>
              <w:pStyle w:val="Compact"/>
            </w:pPr>
          </w:p>
        </w:tc>
        <w:tc>
          <w:tcPr>
            <w:tcW w:w="1568" w:type="dxa"/>
          </w:tcPr>
          <w:p w14:paraId="3B0E25D7" w14:textId="77777777" w:rsidR="00C40BC6" w:rsidRDefault="00C40BC6">
            <w:pPr>
              <w:pStyle w:val="Compact"/>
            </w:pPr>
          </w:p>
        </w:tc>
        <w:tc>
          <w:tcPr>
            <w:tcW w:w="1881" w:type="dxa"/>
          </w:tcPr>
          <w:p w14:paraId="28CE7F20" w14:textId="77777777" w:rsidR="00C40BC6" w:rsidRDefault="00C40BC6">
            <w:pPr>
              <w:pStyle w:val="Compact"/>
            </w:pPr>
          </w:p>
        </w:tc>
        <w:tc>
          <w:tcPr>
            <w:tcW w:w="1333" w:type="dxa"/>
          </w:tcPr>
          <w:p w14:paraId="14EFB62F" w14:textId="77777777" w:rsidR="00C40BC6" w:rsidRDefault="00000000">
            <w:pPr>
              <w:pStyle w:val="Compact"/>
              <w:jc w:val="center"/>
            </w:pPr>
            <w:r>
              <w:t>PPV=0.70</w:t>
            </w:r>
          </w:p>
        </w:tc>
      </w:tr>
      <w:tr w:rsidR="00C40BC6" w14:paraId="500786EE" w14:textId="77777777">
        <w:tc>
          <w:tcPr>
            <w:tcW w:w="1489" w:type="dxa"/>
          </w:tcPr>
          <w:p w14:paraId="15C4DFFD" w14:textId="77777777" w:rsidR="00C40BC6" w:rsidRDefault="00C40BC6">
            <w:pPr>
              <w:pStyle w:val="Compact"/>
            </w:pPr>
          </w:p>
        </w:tc>
        <w:tc>
          <w:tcPr>
            <w:tcW w:w="1646" w:type="dxa"/>
          </w:tcPr>
          <w:p w14:paraId="3CD1AC73" w14:textId="77777777" w:rsidR="00C40BC6" w:rsidRDefault="00C40BC6">
            <w:pPr>
              <w:pStyle w:val="Compact"/>
            </w:pPr>
          </w:p>
        </w:tc>
        <w:tc>
          <w:tcPr>
            <w:tcW w:w="1568" w:type="dxa"/>
          </w:tcPr>
          <w:p w14:paraId="52D192D0" w14:textId="77777777" w:rsidR="00C40BC6" w:rsidRDefault="00C40BC6">
            <w:pPr>
              <w:pStyle w:val="Compact"/>
            </w:pPr>
          </w:p>
        </w:tc>
        <w:tc>
          <w:tcPr>
            <w:tcW w:w="1881" w:type="dxa"/>
          </w:tcPr>
          <w:p w14:paraId="4CFA2A00" w14:textId="77777777" w:rsidR="00C40BC6" w:rsidRDefault="00C40BC6">
            <w:pPr>
              <w:pStyle w:val="Compact"/>
            </w:pPr>
          </w:p>
        </w:tc>
        <w:tc>
          <w:tcPr>
            <w:tcW w:w="1333" w:type="dxa"/>
          </w:tcPr>
          <w:p w14:paraId="342A262E" w14:textId="77777777" w:rsidR="00C40BC6" w:rsidRDefault="00000000">
            <w:pPr>
              <w:pStyle w:val="Compact"/>
              <w:jc w:val="center"/>
            </w:pPr>
            <w:r>
              <w:t>SN=0.83</w:t>
            </w:r>
          </w:p>
        </w:tc>
      </w:tr>
      <w:tr w:rsidR="00C40BC6" w14:paraId="70EF066E" w14:textId="77777777">
        <w:tc>
          <w:tcPr>
            <w:tcW w:w="1489" w:type="dxa"/>
          </w:tcPr>
          <w:p w14:paraId="4BD03898" w14:textId="77777777" w:rsidR="00C40BC6" w:rsidRDefault="00C40BC6">
            <w:pPr>
              <w:pStyle w:val="Compact"/>
            </w:pPr>
          </w:p>
        </w:tc>
        <w:tc>
          <w:tcPr>
            <w:tcW w:w="1646" w:type="dxa"/>
          </w:tcPr>
          <w:p w14:paraId="0E17FAC9" w14:textId="77777777" w:rsidR="00C40BC6" w:rsidRDefault="00C40BC6">
            <w:pPr>
              <w:pStyle w:val="Compact"/>
            </w:pPr>
          </w:p>
        </w:tc>
        <w:tc>
          <w:tcPr>
            <w:tcW w:w="1568" w:type="dxa"/>
          </w:tcPr>
          <w:p w14:paraId="48FCA325" w14:textId="77777777" w:rsidR="00C40BC6" w:rsidRDefault="00C40BC6">
            <w:pPr>
              <w:pStyle w:val="Compact"/>
            </w:pPr>
          </w:p>
        </w:tc>
        <w:tc>
          <w:tcPr>
            <w:tcW w:w="1881" w:type="dxa"/>
          </w:tcPr>
          <w:p w14:paraId="1F0BB024" w14:textId="77777777" w:rsidR="00C40BC6" w:rsidRDefault="00C40BC6">
            <w:pPr>
              <w:pStyle w:val="Compact"/>
            </w:pPr>
          </w:p>
        </w:tc>
        <w:tc>
          <w:tcPr>
            <w:tcW w:w="1333" w:type="dxa"/>
          </w:tcPr>
          <w:p w14:paraId="1E71058F" w14:textId="77777777" w:rsidR="00C40BC6" w:rsidRDefault="00C40BC6">
            <w:pPr>
              <w:pStyle w:val="Compact"/>
            </w:pPr>
          </w:p>
        </w:tc>
      </w:tr>
      <w:tr w:rsidR="00C40BC6" w14:paraId="0C078581" w14:textId="77777777">
        <w:tc>
          <w:tcPr>
            <w:tcW w:w="1489" w:type="dxa"/>
          </w:tcPr>
          <w:p w14:paraId="1CD68EBE" w14:textId="77777777" w:rsidR="00C40BC6" w:rsidRDefault="00000000">
            <w:pPr>
              <w:pStyle w:val="Compact"/>
            </w:pPr>
            <w:r>
              <w:t>Graves et al (2020)</w:t>
            </w:r>
          </w:p>
        </w:tc>
        <w:tc>
          <w:tcPr>
            <w:tcW w:w="1646" w:type="dxa"/>
          </w:tcPr>
          <w:p w14:paraId="6E2ECE56" w14:textId="77777777" w:rsidR="00C40BC6" w:rsidRDefault="00000000">
            <w:pPr>
              <w:pStyle w:val="Compact"/>
            </w:pPr>
            <w:r>
              <w:t>NACC (N=1524)</w:t>
            </w:r>
          </w:p>
        </w:tc>
        <w:tc>
          <w:tcPr>
            <w:tcW w:w="1568" w:type="dxa"/>
          </w:tcPr>
          <w:p w14:paraId="14AEA5BE" w14:textId="77777777" w:rsidR="00C40BC6" w:rsidRDefault="00000000">
            <w:pPr>
              <w:pStyle w:val="Compact"/>
            </w:pPr>
            <w:r>
              <w:t>Dementia (actuarial)</w:t>
            </w:r>
          </w:p>
        </w:tc>
        <w:tc>
          <w:tcPr>
            <w:tcW w:w="1881" w:type="dxa"/>
          </w:tcPr>
          <w:p w14:paraId="0B191E1A" w14:textId="77777777" w:rsidR="00C40BC6" w:rsidRDefault="00000000">
            <w:pPr>
              <w:pStyle w:val="Compact"/>
            </w:pPr>
            <w:r>
              <w:t>NACC Consensus</w:t>
            </w:r>
          </w:p>
        </w:tc>
        <w:tc>
          <w:tcPr>
            <w:tcW w:w="1333" w:type="dxa"/>
          </w:tcPr>
          <w:p w14:paraId="5DA48823" w14:textId="77777777" w:rsidR="00C40BC6" w:rsidRDefault="00000000">
            <w:pPr>
              <w:pStyle w:val="Compact"/>
              <w:jc w:val="center"/>
            </w:pPr>
            <m:oMath>
              <m:r>
                <w:rPr>
                  <w:rFonts w:ascii="Cambria Math" w:hAnsi="Cambria Math"/>
                </w:rPr>
                <m:t>κ</m:t>
              </m:r>
            </m:oMath>
            <w:r>
              <w:t xml:space="preserve"> =0.72</w:t>
            </w:r>
          </w:p>
        </w:tc>
      </w:tr>
      <w:tr w:rsidR="00C40BC6" w14:paraId="1E21804F" w14:textId="77777777">
        <w:tc>
          <w:tcPr>
            <w:tcW w:w="1489" w:type="dxa"/>
          </w:tcPr>
          <w:p w14:paraId="179950BA" w14:textId="77777777" w:rsidR="00C40BC6" w:rsidRDefault="00C40BC6">
            <w:pPr>
              <w:pStyle w:val="Compact"/>
            </w:pPr>
          </w:p>
        </w:tc>
        <w:tc>
          <w:tcPr>
            <w:tcW w:w="1646" w:type="dxa"/>
          </w:tcPr>
          <w:p w14:paraId="6FBA9F26" w14:textId="77777777" w:rsidR="00C40BC6" w:rsidRDefault="00C40BC6">
            <w:pPr>
              <w:pStyle w:val="Compact"/>
            </w:pPr>
          </w:p>
        </w:tc>
        <w:tc>
          <w:tcPr>
            <w:tcW w:w="1568" w:type="dxa"/>
          </w:tcPr>
          <w:p w14:paraId="65785BC1" w14:textId="77777777" w:rsidR="00C40BC6" w:rsidRDefault="00C40BC6">
            <w:pPr>
              <w:pStyle w:val="Compact"/>
            </w:pPr>
          </w:p>
        </w:tc>
        <w:tc>
          <w:tcPr>
            <w:tcW w:w="1881" w:type="dxa"/>
          </w:tcPr>
          <w:p w14:paraId="5564EAFB" w14:textId="77777777" w:rsidR="00C40BC6" w:rsidRDefault="00C40BC6">
            <w:pPr>
              <w:pStyle w:val="Compact"/>
            </w:pPr>
          </w:p>
        </w:tc>
        <w:tc>
          <w:tcPr>
            <w:tcW w:w="1333" w:type="dxa"/>
          </w:tcPr>
          <w:p w14:paraId="1B97804B" w14:textId="77777777" w:rsidR="00C40BC6" w:rsidRDefault="00000000">
            <w:pPr>
              <w:pStyle w:val="Compact"/>
              <w:jc w:val="center"/>
            </w:pPr>
            <w:r>
              <w:t>PPV=0.43</w:t>
            </w:r>
          </w:p>
        </w:tc>
      </w:tr>
      <w:tr w:rsidR="00C40BC6" w14:paraId="45A67A70" w14:textId="77777777">
        <w:tc>
          <w:tcPr>
            <w:tcW w:w="1489" w:type="dxa"/>
          </w:tcPr>
          <w:p w14:paraId="06441FFC" w14:textId="77777777" w:rsidR="00C40BC6" w:rsidRDefault="00C40BC6">
            <w:pPr>
              <w:pStyle w:val="Compact"/>
            </w:pPr>
          </w:p>
        </w:tc>
        <w:tc>
          <w:tcPr>
            <w:tcW w:w="1646" w:type="dxa"/>
          </w:tcPr>
          <w:p w14:paraId="7E8BAC62" w14:textId="77777777" w:rsidR="00C40BC6" w:rsidRDefault="00C40BC6">
            <w:pPr>
              <w:pStyle w:val="Compact"/>
            </w:pPr>
          </w:p>
        </w:tc>
        <w:tc>
          <w:tcPr>
            <w:tcW w:w="1568" w:type="dxa"/>
          </w:tcPr>
          <w:p w14:paraId="4F612163" w14:textId="77777777" w:rsidR="00C40BC6" w:rsidRDefault="00C40BC6">
            <w:pPr>
              <w:pStyle w:val="Compact"/>
            </w:pPr>
          </w:p>
        </w:tc>
        <w:tc>
          <w:tcPr>
            <w:tcW w:w="1881" w:type="dxa"/>
          </w:tcPr>
          <w:p w14:paraId="5C4AC17C" w14:textId="77777777" w:rsidR="00C40BC6" w:rsidRDefault="00C40BC6">
            <w:pPr>
              <w:pStyle w:val="Compact"/>
            </w:pPr>
          </w:p>
        </w:tc>
        <w:tc>
          <w:tcPr>
            <w:tcW w:w="1333" w:type="dxa"/>
          </w:tcPr>
          <w:p w14:paraId="3AED88D1" w14:textId="77777777" w:rsidR="00C40BC6" w:rsidRDefault="00000000">
            <w:pPr>
              <w:pStyle w:val="Compact"/>
              <w:jc w:val="center"/>
            </w:pPr>
            <w:r>
              <w:t>SN=0.96</w:t>
            </w:r>
          </w:p>
        </w:tc>
      </w:tr>
      <w:tr w:rsidR="00C40BC6" w14:paraId="4497E220" w14:textId="77777777">
        <w:tc>
          <w:tcPr>
            <w:tcW w:w="1489" w:type="dxa"/>
          </w:tcPr>
          <w:p w14:paraId="1EB40397" w14:textId="77777777" w:rsidR="00C40BC6" w:rsidRDefault="00C40BC6">
            <w:pPr>
              <w:pStyle w:val="Compact"/>
            </w:pPr>
          </w:p>
        </w:tc>
        <w:tc>
          <w:tcPr>
            <w:tcW w:w="1646" w:type="dxa"/>
          </w:tcPr>
          <w:p w14:paraId="7AFA76B8" w14:textId="77777777" w:rsidR="00C40BC6" w:rsidRDefault="00C40BC6">
            <w:pPr>
              <w:pStyle w:val="Compact"/>
            </w:pPr>
          </w:p>
        </w:tc>
        <w:tc>
          <w:tcPr>
            <w:tcW w:w="1568" w:type="dxa"/>
          </w:tcPr>
          <w:p w14:paraId="75A959E4" w14:textId="77777777" w:rsidR="00C40BC6" w:rsidRDefault="00C40BC6">
            <w:pPr>
              <w:pStyle w:val="Compact"/>
            </w:pPr>
          </w:p>
        </w:tc>
        <w:tc>
          <w:tcPr>
            <w:tcW w:w="1881" w:type="dxa"/>
          </w:tcPr>
          <w:p w14:paraId="7CEA72FD" w14:textId="77777777" w:rsidR="00C40BC6" w:rsidRDefault="00C40BC6">
            <w:pPr>
              <w:pStyle w:val="Compact"/>
            </w:pPr>
          </w:p>
        </w:tc>
        <w:tc>
          <w:tcPr>
            <w:tcW w:w="1333" w:type="dxa"/>
          </w:tcPr>
          <w:p w14:paraId="494A5B28" w14:textId="77777777" w:rsidR="00C40BC6" w:rsidRDefault="00C40BC6">
            <w:pPr>
              <w:pStyle w:val="Compact"/>
            </w:pPr>
          </w:p>
        </w:tc>
      </w:tr>
      <w:tr w:rsidR="00C40BC6" w14:paraId="0B5445B7" w14:textId="77777777">
        <w:tc>
          <w:tcPr>
            <w:tcW w:w="1489" w:type="dxa"/>
          </w:tcPr>
          <w:p w14:paraId="11CAC23D" w14:textId="77777777" w:rsidR="00C40BC6" w:rsidRDefault="00000000">
            <w:pPr>
              <w:pStyle w:val="Compact"/>
            </w:pPr>
            <w:r>
              <w:t>Farron et al (2025)</w:t>
            </w:r>
          </w:p>
        </w:tc>
        <w:tc>
          <w:tcPr>
            <w:tcW w:w="1646" w:type="dxa"/>
          </w:tcPr>
          <w:p w14:paraId="2A8A651E" w14:textId="77777777" w:rsidR="00C40BC6" w:rsidRDefault="00000000">
            <w:pPr>
              <w:pStyle w:val="Compact"/>
            </w:pPr>
            <w:r>
              <w:t>HRS/HCAP validation (N=50)</w:t>
            </w:r>
          </w:p>
        </w:tc>
        <w:tc>
          <w:tcPr>
            <w:tcW w:w="1568" w:type="dxa"/>
          </w:tcPr>
          <w:p w14:paraId="1A560A44" w14:textId="77777777" w:rsidR="00C40BC6" w:rsidRDefault="00000000">
            <w:pPr>
              <w:pStyle w:val="Compact"/>
            </w:pPr>
            <w:r>
              <w:t>Dementia (actuarial)</w:t>
            </w:r>
          </w:p>
        </w:tc>
        <w:tc>
          <w:tcPr>
            <w:tcW w:w="1881" w:type="dxa"/>
          </w:tcPr>
          <w:p w14:paraId="71D4886D" w14:textId="77777777" w:rsidR="00C40BC6" w:rsidRDefault="00000000">
            <w:pPr>
              <w:pStyle w:val="Compact"/>
            </w:pPr>
            <w:r>
              <w:t>HCAP Consensus</w:t>
            </w:r>
          </w:p>
        </w:tc>
        <w:tc>
          <w:tcPr>
            <w:tcW w:w="1333" w:type="dxa"/>
          </w:tcPr>
          <w:p w14:paraId="0182A082" w14:textId="77777777" w:rsidR="00C40BC6" w:rsidRDefault="00000000">
            <w:pPr>
              <w:pStyle w:val="Compact"/>
              <w:jc w:val="center"/>
            </w:pPr>
            <m:oMath>
              <m:r>
                <w:rPr>
                  <w:rFonts w:ascii="Cambria Math" w:hAnsi="Cambria Math"/>
                </w:rPr>
                <m:t>κ</m:t>
              </m:r>
            </m:oMath>
            <w:r>
              <w:t xml:space="preserve"> =0.70</w:t>
            </w:r>
          </w:p>
        </w:tc>
      </w:tr>
      <w:tr w:rsidR="00C40BC6" w14:paraId="23E23088" w14:textId="77777777">
        <w:tc>
          <w:tcPr>
            <w:tcW w:w="1489" w:type="dxa"/>
          </w:tcPr>
          <w:p w14:paraId="3B033095" w14:textId="77777777" w:rsidR="00C40BC6" w:rsidRDefault="00C40BC6">
            <w:pPr>
              <w:pStyle w:val="Compact"/>
            </w:pPr>
          </w:p>
        </w:tc>
        <w:tc>
          <w:tcPr>
            <w:tcW w:w="1646" w:type="dxa"/>
          </w:tcPr>
          <w:p w14:paraId="046BA4D4" w14:textId="77777777" w:rsidR="00C40BC6" w:rsidRDefault="00C40BC6">
            <w:pPr>
              <w:pStyle w:val="Compact"/>
            </w:pPr>
          </w:p>
        </w:tc>
        <w:tc>
          <w:tcPr>
            <w:tcW w:w="1568" w:type="dxa"/>
          </w:tcPr>
          <w:p w14:paraId="309F08F9" w14:textId="77777777" w:rsidR="00C40BC6" w:rsidRDefault="00C40BC6">
            <w:pPr>
              <w:pStyle w:val="Compact"/>
            </w:pPr>
          </w:p>
        </w:tc>
        <w:tc>
          <w:tcPr>
            <w:tcW w:w="1881" w:type="dxa"/>
          </w:tcPr>
          <w:p w14:paraId="6027F586" w14:textId="77777777" w:rsidR="00C40BC6" w:rsidRDefault="00C40BC6">
            <w:pPr>
              <w:pStyle w:val="Compact"/>
            </w:pPr>
          </w:p>
        </w:tc>
        <w:tc>
          <w:tcPr>
            <w:tcW w:w="1333" w:type="dxa"/>
          </w:tcPr>
          <w:p w14:paraId="7802F0F0" w14:textId="77777777" w:rsidR="00C40BC6" w:rsidRDefault="00000000">
            <w:pPr>
              <w:pStyle w:val="Compact"/>
              <w:jc w:val="center"/>
            </w:pPr>
            <w:r>
              <w:t>PPV=0.57</w:t>
            </w:r>
          </w:p>
        </w:tc>
      </w:tr>
      <w:tr w:rsidR="00C40BC6" w14:paraId="0427F6C4" w14:textId="77777777">
        <w:tc>
          <w:tcPr>
            <w:tcW w:w="1489" w:type="dxa"/>
          </w:tcPr>
          <w:p w14:paraId="376CA94C" w14:textId="77777777" w:rsidR="00C40BC6" w:rsidRDefault="00C40BC6">
            <w:pPr>
              <w:pStyle w:val="Compact"/>
            </w:pPr>
          </w:p>
        </w:tc>
        <w:tc>
          <w:tcPr>
            <w:tcW w:w="1646" w:type="dxa"/>
          </w:tcPr>
          <w:p w14:paraId="5EA7A4EB" w14:textId="77777777" w:rsidR="00C40BC6" w:rsidRDefault="00C40BC6">
            <w:pPr>
              <w:pStyle w:val="Compact"/>
            </w:pPr>
          </w:p>
        </w:tc>
        <w:tc>
          <w:tcPr>
            <w:tcW w:w="1568" w:type="dxa"/>
          </w:tcPr>
          <w:p w14:paraId="606EC32E" w14:textId="77777777" w:rsidR="00C40BC6" w:rsidRDefault="00C40BC6">
            <w:pPr>
              <w:pStyle w:val="Compact"/>
            </w:pPr>
          </w:p>
        </w:tc>
        <w:tc>
          <w:tcPr>
            <w:tcW w:w="1881" w:type="dxa"/>
          </w:tcPr>
          <w:p w14:paraId="1442A690" w14:textId="77777777" w:rsidR="00C40BC6" w:rsidRDefault="00C40BC6">
            <w:pPr>
              <w:pStyle w:val="Compact"/>
            </w:pPr>
          </w:p>
        </w:tc>
        <w:tc>
          <w:tcPr>
            <w:tcW w:w="1333" w:type="dxa"/>
          </w:tcPr>
          <w:p w14:paraId="5BFC9689" w14:textId="77777777" w:rsidR="00C40BC6" w:rsidRDefault="00000000">
            <w:pPr>
              <w:pStyle w:val="Compact"/>
              <w:jc w:val="center"/>
            </w:pPr>
            <w:r>
              <w:t>SN=0.96</w:t>
            </w:r>
          </w:p>
        </w:tc>
      </w:tr>
      <w:tr w:rsidR="00C40BC6" w14:paraId="057E8E49" w14:textId="77777777">
        <w:tc>
          <w:tcPr>
            <w:tcW w:w="1489" w:type="dxa"/>
          </w:tcPr>
          <w:p w14:paraId="0C326D63" w14:textId="77777777" w:rsidR="00C40BC6" w:rsidRDefault="00C40BC6">
            <w:pPr>
              <w:pStyle w:val="Compact"/>
            </w:pPr>
          </w:p>
        </w:tc>
        <w:tc>
          <w:tcPr>
            <w:tcW w:w="1646" w:type="dxa"/>
          </w:tcPr>
          <w:p w14:paraId="059B1A94" w14:textId="77777777" w:rsidR="00C40BC6" w:rsidRDefault="00C40BC6">
            <w:pPr>
              <w:pStyle w:val="Compact"/>
            </w:pPr>
          </w:p>
        </w:tc>
        <w:tc>
          <w:tcPr>
            <w:tcW w:w="1568" w:type="dxa"/>
          </w:tcPr>
          <w:p w14:paraId="2A57484E" w14:textId="77777777" w:rsidR="00C40BC6" w:rsidRDefault="00C40BC6">
            <w:pPr>
              <w:pStyle w:val="Compact"/>
            </w:pPr>
          </w:p>
        </w:tc>
        <w:tc>
          <w:tcPr>
            <w:tcW w:w="1881" w:type="dxa"/>
          </w:tcPr>
          <w:p w14:paraId="717D9613" w14:textId="77777777" w:rsidR="00C40BC6" w:rsidRDefault="00C40BC6">
            <w:pPr>
              <w:pStyle w:val="Compact"/>
            </w:pPr>
          </w:p>
        </w:tc>
        <w:tc>
          <w:tcPr>
            <w:tcW w:w="1333" w:type="dxa"/>
          </w:tcPr>
          <w:p w14:paraId="79F34A83" w14:textId="77777777" w:rsidR="00C40BC6" w:rsidRDefault="00C40BC6">
            <w:pPr>
              <w:pStyle w:val="Compact"/>
            </w:pPr>
          </w:p>
        </w:tc>
      </w:tr>
      <w:tr w:rsidR="00C40BC6" w14:paraId="54792F99" w14:textId="77777777">
        <w:tc>
          <w:tcPr>
            <w:tcW w:w="1489" w:type="dxa"/>
          </w:tcPr>
          <w:p w14:paraId="63254263" w14:textId="77777777" w:rsidR="00C40BC6" w:rsidRDefault="00000000">
            <w:pPr>
              <w:pStyle w:val="Compact"/>
            </w:pPr>
            <w:r>
              <w:t>Kasper et al (2013)</w:t>
            </w:r>
          </w:p>
        </w:tc>
        <w:tc>
          <w:tcPr>
            <w:tcW w:w="1646" w:type="dxa"/>
          </w:tcPr>
          <w:p w14:paraId="2770AED3" w14:textId="77777777" w:rsidR="00C40BC6" w:rsidRDefault="00000000">
            <w:pPr>
              <w:pStyle w:val="Compact"/>
            </w:pPr>
            <w:r>
              <w:t>ADAMS subsample (N=121)</w:t>
            </w:r>
          </w:p>
        </w:tc>
        <w:tc>
          <w:tcPr>
            <w:tcW w:w="1568" w:type="dxa"/>
          </w:tcPr>
          <w:p w14:paraId="28EFACD8" w14:textId="77777777" w:rsidR="00C40BC6" w:rsidRDefault="00000000">
            <w:pPr>
              <w:pStyle w:val="Compact"/>
            </w:pPr>
            <w:r>
              <w:t>Probable dementia (NHATS algorithm)</w:t>
            </w:r>
          </w:p>
        </w:tc>
        <w:tc>
          <w:tcPr>
            <w:tcW w:w="1881" w:type="dxa"/>
          </w:tcPr>
          <w:p w14:paraId="0DC6AC4B" w14:textId="77777777" w:rsidR="00C40BC6" w:rsidRDefault="00000000">
            <w:pPr>
              <w:pStyle w:val="Compact"/>
            </w:pPr>
            <w:r>
              <w:t>ADAMS Consensus</w:t>
            </w:r>
          </w:p>
        </w:tc>
        <w:tc>
          <w:tcPr>
            <w:tcW w:w="1333" w:type="dxa"/>
          </w:tcPr>
          <w:p w14:paraId="19CC7A36" w14:textId="77777777" w:rsidR="00C40BC6" w:rsidRDefault="00000000">
            <w:pPr>
              <w:pStyle w:val="Compact"/>
              <w:jc w:val="center"/>
            </w:pPr>
            <m:oMath>
              <m:r>
                <w:rPr>
                  <w:rFonts w:ascii="Cambria Math" w:hAnsi="Cambria Math"/>
                </w:rPr>
                <m:t>κ</m:t>
              </m:r>
            </m:oMath>
            <w:r>
              <w:t xml:space="preserve"> =0.53</w:t>
            </w:r>
          </w:p>
        </w:tc>
      </w:tr>
      <w:tr w:rsidR="00C40BC6" w14:paraId="51C7C5BD" w14:textId="77777777">
        <w:tc>
          <w:tcPr>
            <w:tcW w:w="1489" w:type="dxa"/>
          </w:tcPr>
          <w:p w14:paraId="4823F372" w14:textId="77777777" w:rsidR="00C40BC6" w:rsidRDefault="00C40BC6">
            <w:pPr>
              <w:pStyle w:val="Compact"/>
            </w:pPr>
          </w:p>
        </w:tc>
        <w:tc>
          <w:tcPr>
            <w:tcW w:w="1646" w:type="dxa"/>
          </w:tcPr>
          <w:p w14:paraId="263F47B7" w14:textId="77777777" w:rsidR="00C40BC6" w:rsidRDefault="00C40BC6">
            <w:pPr>
              <w:pStyle w:val="Compact"/>
            </w:pPr>
          </w:p>
        </w:tc>
        <w:tc>
          <w:tcPr>
            <w:tcW w:w="1568" w:type="dxa"/>
          </w:tcPr>
          <w:p w14:paraId="64AEEF26" w14:textId="77777777" w:rsidR="00C40BC6" w:rsidRDefault="00C40BC6">
            <w:pPr>
              <w:pStyle w:val="Compact"/>
            </w:pPr>
          </w:p>
        </w:tc>
        <w:tc>
          <w:tcPr>
            <w:tcW w:w="1881" w:type="dxa"/>
          </w:tcPr>
          <w:p w14:paraId="2619836F" w14:textId="77777777" w:rsidR="00C40BC6" w:rsidRDefault="00C40BC6">
            <w:pPr>
              <w:pStyle w:val="Compact"/>
            </w:pPr>
          </w:p>
        </w:tc>
        <w:tc>
          <w:tcPr>
            <w:tcW w:w="1333" w:type="dxa"/>
          </w:tcPr>
          <w:p w14:paraId="3BD4121D" w14:textId="77777777" w:rsidR="00C40BC6" w:rsidRDefault="00000000">
            <w:pPr>
              <w:pStyle w:val="Compact"/>
              <w:jc w:val="center"/>
            </w:pPr>
            <w:r>
              <w:t>PPV=0.69</w:t>
            </w:r>
          </w:p>
        </w:tc>
      </w:tr>
      <w:tr w:rsidR="00C40BC6" w14:paraId="686440ED" w14:textId="77777777">
        <w:tc>
          <w:tcPr>
            <w:tcW w:w="1489" w:type="dxa"/>
          </w:tcPr>
          <w:p w14:paraId="77F9D061" w14:textId="77777777" w:rsidR="00C40BC6" w:rsidRDefault="00C40BC6">
            <w:pPr>
              <w:pStyle w:val="Compact"/>
            </w:pPr>
          </w:p>
        </w:tc>
        <w:tc>
          <w:tcPr>
            <w:tcW w:w="1646" w:type="dxa"/>
          </w:tcPr>
          <w:p w14:paraId="45BC0895" w14:textId="77777777" w:rsidR="00C40BC6" w:rsidRDefault="00C40BC6">
            <w:pPr>
              <w:pStyle w:val="Compact"/>
            </w:pPr>
          </w:p>
        </w:tc>
        <w:tc>
          <w:tcPr>
            <w:tcW w:w="1568" w:type="dxa"/>
          </w:tcPr>
          <w:p w14:paraId="59A212D2" w14:textId="77777777" w:rsidR="00C40BC6" w:rsidRDefault="00C40BC6">
            <w:pPr>
              <w:pStyle w:val="Compact"/>
            </w:pPr>
          </w:p>
        </w:tc>
        <w:tc>
          <w:tcPr>
            <w:tcW w:w="1881" w:type="dxa"/>
          </w:tcPr>
          <w:p w14:paraId="39B8E233" w14:textId="77777777" w:rsidR="00C40BC6" w:rsidRDefault="00C40BC6">
            <w:pPr>
              <w:pStyle w:val="Compact"/>
            </w:pPr>
          </w:p>
        </w:tc>
        <w:tc>
          <w:tcPr>
            <w:tcW w:w="1333" w:type="dxa"/>
          </w:tcPr>
          <w:p w14:paraId="04CA8530" w14:textId="77777777" w:rsidR="00C40BC6" w:rsidRDefault="00000000">
            <w:pPr>
              <w:pStyle w:val="Compact"/>
              <w:jc w:val="center"/>
            </w:pPr>
            <w:r>
              <w:t>SN=0.66</w:t>
            </w:r>
          </w:p>
        </w:tc>
      </w:tr>
      <w:tr w:rsidR="00C40BC6" w14:paraId="70E6C2CD" w14:textId="77777777">
        <w:tc>
          <w:tcPr>
            <w:tcW w:w="1489" w:type="dxa"/>
          </w:tcPr>
          <w:p w14:paraId="691BB0AB" w14:textId="77777777" w:rsidR="00C40BC6" w:rsidRDefault="00C40BC6">
            <w:pPr>
              <w:pStyle w:val="Compact"/>
            </w:pPr>
          </w:p>
        </w:tc>
        <w:tc>
          <w:tcPr>
            <w:tcW w:w="1646" w:type="dxa"/>
          </w:tcPr>
          <w:p w14:paraId="66557187" w14:textId="77777777" w:rsidR="00C40BC6" w:rsidRDefault="00C40BC6">
            <w:pPr>
              <w:pStyle w:val="Compact"/>
            </w:pPr>
          </w:p>
        </w:tc>
        <w:tc>
          <w:tcPr>
            <w:tcW w:w="1568" w:type="dxa"/>
          </w:tcPr>
          <w:p w14:paraId="76F126F9" w14:textId="77777777" w:rsidR="00C40BC6" w:rsidRDefault="00C40BC6">
            <w:pPr>
              <w:pStyle w:val="Compact"/>
            </w:pPr>
          </w:p>
        </w:tc>
        <w:tc>
          <w:tcPr>
            <w:tcW w:w="1881" w:type="dxa"/>
          </w:tcPr>
          <w:p w14:paraId="1C7123FB" w14:textId="77777777" w:rsidR="00C40BC6" w:rsidRDefault="00C40BC6">
            <w:pPr>
              <w:pStyle w:val="Compact"/>
            </w:pPr>
          </w:p>
        </w:tc>
        <w:tc>
          <w:tcPr>
            <w:tcW w:w="1333" w:type="dxa"/>
          </w:tcPr>
          <w:p w14:paraId="3B7E21E3" w14:textId="77777777" w:rsidR="00C40BC6" w:rsidRDefault="00C40BC6">
            <w:pPr>
              <w:pStyle w:val="Compact"/>
            </w:pPr>
          </w:p>
        </w:tc>
      </w:tr>
      <w:tr w:rsidR="00C40BC6" w14:paraId="2B3337BA" w14:textId="77777777">
        <w:tc>
          <w:tcPr>
            <w:tcW w:w="1489" w:type="dxa"/>
          </w:tcPr>
          <w:p w14:paraId="5FCC1B4C" w14:textId="77777777" w:rsidR="00C40BC6" w:rsidRDefault="00000000">
            <w:pPr>
              <w:pStyle w:val="Compact"/>
            </w:pPr>
            <w:r>
              <w:t>This paper (2026)</w:t>
            </w:r>
          </w:p>
        </w:tc>
        <w:tc>
          <w:tcPr>
            <w:tcW w:w="1646" w:type="dxa"/>
          </w:tcPr>
          <w:p w14:paraId="344010F2" w14:textId="77777777" w:rsidR="00C40BC6" w:rsidRDefault="00000000">
            <w:pPr>
              <w:pStyle w:val="Compact"/>
            </w:pPr>
            <w:r>
              <w:t>HRS Core (HCAP validation, N=50)</w:t>
            </w:r>
          </w:p>
        </w:tc>
        <w:tc>
          <w:tcPr>
            <w:tcW w:w="1568" w:type="dxa"/>
          </w:tcPr>
          <w:p w14:paraId="18D6E1B1" w14:textId="77777777" w:rsidR="00C40BC6" w:rsidRDefault="00000000">
            <w:pPr>
              <w:pStyle w:val="Compact"/>
            </w:pPr>
            <w:r>
              <w:t>Dementia (Langa-Weir)</w:t>
            </w:r>
          </w:p>
        </w:tc>
        <w:tc>
          <w:tcPr>
            <w:tcW w:w="1881" w:type="dxa"/>
          </w:tcPr>
          <w:p w14:paraId="069D0B9C" w14:textId="77777777" w:rsidR="00C40BC6" w:rsidRDefault="00000000">
            <w:pPr>
              <w:pStyle w:val="Compact"/>
            </w:pPr>
            <w:r>
              <w:t>HRS/HCAP Consensus</w:t>
            </w:r>
          </w:p>
        </w:tc>
        <w:tc>
          <w:tcPr>
            <w:tcW w:w="1333" w:type="dxa"/>
          </w:tcPr>
          <w:p w14:paraId="51D31E03" w14:textId="77777777" w:rsidR="00C40BC6" w:rsidRDefault="00000000">
            <w:pPr>
              <w:pStyle w:val="Compact"/>
              <w:jc w:val="center"/>
            </w:pPr>
            <w:r>
              <w:t>?</w:t>
            </w:r>
          </w:p>
        </w:tc>
      </w:tr>
      <w:tr w:rsidR="00C40BC6" w14:paraId="600A6B5F" w14:textId="77777777">
        <w:tc>
          <w:tcPr>
            <w:tcW w:w="1489" w:type="dxa"/>
          </w:tcPr>
          <w:p w14:paraId="66ED9DDB" w14:textId="77777777" w:rsidR="00C40BC6" w:rsidRDefault="00C40BC6">
            <w:pPr>
              <w:pStyle w:val="Compact"/>
            </w:pPr>
          </w:p>
        </w:tc>
        <w:tc>
          <w:tcPr>
            <w:tcW w:w="1646" w:type="dxa"/>
          </w:tcPr>
          <w:p w14:paraId="44CDB8BE" w14:textId="77777777" w:rsidR="00C40BC6" w:rsidRDefault="00C40BC6">
            <w:pPr>
              <w:pStyle w:val="Compact"/>
            </w:pPr>
          </w:p>
        </w:tc>
        <w:tc>
          <w:tcPr>
            <w:tcW w:w="1568" w:type="dxa"/>
          </w:tcPr>
          <w:p w14:paraId="2335373A" w14:textId="77777777" w:rsidR="00C40BC6" w:rsidRDefault="00C40BC6">
            <w:pPr>
              <w:pStyle w:val="Compact"/>
            </w:pPr>
          </w:p>
        </w:tc>
        <w:tc>
          <w:tcPr>
            <w:tcW w:w="1881" w:type="dxa"/>
          </w:tcPr>
          <w:p w14:paraId="4B947C9E" w14:textId="77777777" w:rsidR="00C40BC6" w:rsidRDefault="00C40BC6">
            <w:pPr>
              <w:pStyle w:val="Compact"/>
            </w:pPr>
          </w:p>
        </w:tc>
        <w:tc>
          <w:tcPr>
            <w:tcW w:w="1333" w:type="dxa"/>
          </w:tcPr>
          <w:p w14:paraId="1A7D9D5B" w14:textId="77777777" w:rsidR="00C40BC6" w:rsidRDefault="00C40BC6">
            <w:pPr>
              <w:pStyle w:val="Compact"/>
            </w:pPr>
          </w:p>
        </w:tc>
      </w:tr>
      <w:tr w:rsidR="00C40BC6" w14:paraId="3F714507" w14:textId="77777777">
        <w:tc>
          <w:tcPr>
            <w:tcW w:w="1489" w:type="dxa"/>
          </w:tcPr>
          <w:p w14:paraId="0AC60803" w14:textId="77777777" w:rsidR="00C40BC6" w:rsidRDefault="00000000">
            <w:pPr>
              <w:pStyle w:val="Compact"/>
            </w:pPr>
            <w:r>
              <w:t>This paper (2026)</w:t>
            </w:r>
          </w:p>
        </w:tc>
        <w:tc>
          <w:tcPr>
            <w:tcW w:w="1646" w:type="dxa"/>
          </w:tcPr>
          <w:p w14:paraId="6A2E0F2A" w14:textId="77777777" w:rsidR="00C40BC6" w:rsidRDefault="00000000">
            <w:pPr>
              <w:pStyle w:val="Compact"/>
            </w:pPr>
            <w:r>
              <w:t>HRS Core (HCAP validation, N=50)</w:t>
            </w:r>
          </w:p>
        </w:tc>
        <w:tc>
          <w:tcPr>
            <w:tcW w:w="1568" w:type="dxa"/>
          </w:tcPr>
          <w:p w14:paraId="0408A151" w14:textId="77777777" w:rsidR="00C40BC6" w:rsidRDefault="00000000">
            <w:pPr>
              <w:pStyle w:val="Compact"/>
            </w:pPr>
            <w:r>
              <w:t>Dementia (Hurd)</w:t>
            </w:r>
          </w:p>
        </w:tc>
        <w:tc>
          <w:tcPr>
            <w:tcW w:w="1881" w:type="dxa"/>
          </w:tcPr>
          <w:p w14:paraId="5A2158D8" w14:textId="77777777" w:rsidR="00C40BC6" w:rsidRDefault="00000000">
            <w:pPr>
              <w:pStyle w:val="Compact"/>
            </w:pPr>
            <w:r>
              <w:t>HRS/HCAP Consensus</w:t>
            </w:r>
          </w:p>
        </w:tc>
        <w:tc>
          <w:tcPr>
            <w:tcW w:w="1333" w:type="dxa"/>
          </w:tcPr>
          <w:p w14:paraId="4C5A4E0E" w14:textId="77777777" w:rsidR="00C40BC6" w:rsidRDefault="00000000">
            <w:pPr>
              <w:pStyle w:val="Compact"/>
              <w:jc w:val="center"/>
            </w:pPr>
            <w:r>
              <w:t>?</w:t>
            </w:r>
          </w:p>
        </w:tc>
      </w:tr>
      <w:tr w:rsidR="00C40BC6" w14:paraId="19A06974" w14:textId="77777777">
        <w:tc>
          <w:tcPr>
            <w:tcW w:w="1489" w:type="dxa"/>
          </w:tcPr>
          <w:p w14:paraId="7772047E" w14:textId="77777777" w:rsidR="00C40BC6" w:rsidRDefault="00C40BC6">
            <w:pPr>
              <w:pStyle w:val="Compact"/>
            </w:pPr>
          </w:p>
        </w:tc>
        <w:tc>
          <w:tcPr>
            <w:tcW w:w="1646" w:type="dxa"/>
          </w:tcPr>
          <w:p w14:paraId="6C2345A4" w14:textId="77777777" w:rsidR="00C40BC6" w:rsidRDefault="00C40BC6">
            <w:pPr>
              <w:pStyle w:val="Compact"/>
            </w:pPr>
          </w:p>
        </w:tc>
        <w:tc>
          <w:tcPr>
            <w:tcW w:w="1568" w:type="dxa"/>
          </w:tcPr>
          <w:p w14:paraId="203385C3" w14:textId="77777777" w:rsidR="00C40BC6" w:rsidRDefault="00C40BC6">
            <w:pPr>
              <w:pStyle w:val="Compact"/>
            </w:pPr>
          </w:p>
        </w:tc>
        <w:tc>
          <w:tcPr>
            <w:tcW w:w="1881" w:type="dxa"/>
          </w:tcPr>
          <w:p w14:paraId="739F53F1" w14:textId="77777777" w:rsidR="00C40BC6" w:rsidRDefault="00C40BC6">
            <w:pPr>
              <w:pStyle w:val="Compact"/>
            </w:pPr>
          </w:p>
        </w:tc>
        <w:tc>
          <w:tcPr>
            <w:tcW w:w="1333" w:type="dxa"/>
          </w:tcPr>
          <w:p w14:paraId="4264370B" w14:textId="77777777" w:rsidR="00C40BC6" w:rsidRDefault="00C40BC6">
            <w:pPr>
              <w:pStyle w:val="Compact"/>
            </w:pPr>
          </w:p>
        </w:tc>
      </w:tr>
      <w:tr w:rsidR="00C40BC6" w14:paraId="5EAFA341" w14:textId="77777777">
        <w:tc>
          <w:tcPr>
            <w:tcW w:w="1489" w:type="dxa"/>
          </w:tcPr>
          <w:p w14:paraId="39FA536B" w14:textId="77777777" w:rsidR="00C40BC6" w:rsidRDefault="00000000">
            <w:pPr>
              <w:pStyle w:val="Compact"/>
            </w:pPr>
            <w:r>
              <w:t>This paper (2026)</w:t>
            </w:r>
          </w:p>
        </w:tc>
        <w:tc>
          <w:tcPr>
            <w:tcW w:w="1646" w:type="dxa"/>
          </w:tcPr>
          <w:p w14:paraId="535F0643" w14:textId="77777777" w:rsidR="00C40BC6" w:rsidRDefault="00000000">
            <w:pPr>
              <w:pStyle w:val="Compact"/>
            </w:pPr>
            <w:r>
              <w:t>HRS Core (HCAP validation, N=50)</w:t>
            </w:r>
          </w:p>
        </w:tc>
        <w:tc>
          <w:tcPr>
            <w:tcW w:w="1568" w:type="dxa"/>
          </w:tcPr>
          <w:p w14:paraId="7F8022BC" w14:textId="77777777" w:rsidR="00C40BC6" w:rsidRDefault="00000000">
            <w:pPr>
              <w:pStyle w:val="Compact"/>
            </w:pPr>
            <w:r>
              <w:t>Dementia (Hudomiet)</w:t>
            </w:r>
          </w:p>
        </w:tc>
        <w:tc>
          <w:tcPr>
            <w:tcW w:w="1881" w:type="dxa"/>
          </w:tcPr>
          <w:p w14:paraId="71C183CD" w14:textId="77777777" w:rsidR="00C40BC6" w:rsidRDefault="00000000">
            <w:pPr>
              <w:pStyle w:val="Compact"/>
            </w:pPr>
            <w:r>
              <w:t>HRS/HCAP Consensus</w:t>
            </w:r>
          </w:p>
        </w:tc>
        <w:tc>
          <w:tcPr>
            <w:tcW w:w="1333" w:type="dxa"/>
          </w:tcPr>
          <w:p w14:paraId="27EA32E8" w14:textId="77777777" w:rsidR="00C40BC6" w:rsidRDefault="00000000">
            <w:pPr>
              <w:pStyle w:val="Compact"/>
              <w:jc w:val="center"/>
            </w:pPr>
            <w:r>
              <w:t>?</w:t>
            </w:r>
          </w:p>
        </w:tc>
      </w:tr>
    </w:tbl>
    <w:p w14:paraId="1316DE91" w14:textId="77777777" w:rsidR="00C40BC6" w:rsidRDefault="00000000">
      <w:pPr>
        <w:pStyle w:val="BodyText"/>
      </w:pPr>
      <w:r>
        <w:t xml:space="preserve">The details of this table may need to be it’s own appendix. The data from Kasper et al (2013) and Graves et al (2020) are modified from their as-published form. Neither of these authors provide 3-way agreement statistics. Graves was not a representative sample. I re-constructed 3-way agreement tables from the data provided by these authors, and for both re-weighted to estimated </w:t>
      </w:r>
      <w:r>
        <w:lastRenderedPageBreak/>
        <w:t>population marginal distributions for Normal, MCI, and Dementia with respect to their study’s reference standard diagnostic classification.</w:t>
      </w:r>
    </w:p>
    <w:p w14:paraId="6F650E01" w14:textId="77777777" w:rsidR="00C40BC6" w:rsidRDefault="00000000">
      <w:r>
        <w:br w:type="page"/>
      </w:r>
    </w:p>
    <w:p w14:paraId="12D73873" w14:textId="77777777" w:rsidR="00C40BC6" w:rsidRDefault="00000000">
      <w:pPr>
        <w:pStyle w:val="BodyText"/>
      </w:pPr>
      <w:r>
        <w:lastRenderedPageBreak/>
        <w:t>Thanks for reading.</w:t>
      </w:r>
      <w:bookmarkEnd w:id="0"/>
    </w:p>
    <w:sectPr w:rsidR="00C40BC6" w:rsidSect="0022135A">
      <w:footerReference w:type="even" r:id="rId7"/>
      <w:footerReference w:type="default" r:id="rId8"/>
      <w:footnotePr>
        <w:numRestart w:val="eachSect"/>
      </w:footnotePr>
      <w:pgSz w:w="12226"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B8896" w14:textId="77777777" w:rsidR="00CB1237" w:rsidRDefault="00CB1237">
      <w:pPr>
        <w:spacing w:before="0" w:after="0"/>
      </w:pPr>
      <w:r>
        <w:separator/>
      </w:r>
    </w:p>
  </w:endnote>
  <w:endnote w:type="continuationSeparator" w:id="0">
    <w:p w14:paraId="1962F591" w14:textId="77777777" w:rsidR="00CB1237" w:rsidRDefault="00CB123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Excalifont">
    <w:panose1 w:val="00000000000000000000"/>
    <w:charset w:val="00"/>
    <w:family w:val="auto"/>
    <w:pitch w:val="variable"/>
    <w:sig w:usb0="A00002EF" w:usb1="4000004A"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97213190"/>
      <w:docPartObj>
        <w:docPartGallery w:val="Page Numbers (Bottom of Page)"/>
        <w:docPartUnique/>
      </w:docPartObj>
    </w:sdtPr>
    <w:sdtContent>
      <w:p w14:paraId="04BF0FDE" w14:textId="77777777" w:rsidR="000A2F4C" w:rsidRDefault="000A2F4C" w:rsidP="006F2E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C0CA5">
          <w:rPr>
            <w:rStyle w:val="PageNumber"/>
            <w:noProof/>
          </w:rPr>
          <w:t>17</w:t>
        </w:r>
        <w:r>
          <w:rPr>
            <w:rStyle w:val="PageNumber"/>
          </w:rPr>
          <w:fldChar w:fldCharType="end"/>
        </w:r>
      </w:p>
    </w:sdtContent>
  </w:sdt>
  <w:p w14:paraId="30D05F10" w14:textId="77777777" w:rsidR="000A2F4C" w:rsidRDefault="000A2F4C" w:rsidP="000A2F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95854564"/>
      <w:docPartObj>
        <w:docPartGallery w:val="Page Numbers (Bottom of Page)"/>
        <w:docPartUnique/>
      </w:docPartObj>
    </w:sdtPr>
    <w:sdtContent>
      <w:p w14:paraId="3B26B09A" w14:textId="77777777" w:rsidR="000A2F4C" w:rsidRDefault="000A2F4C" w:rsidP="006F2E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651E294" w14:textId="77777777" w:rsidR="000A2F4C" w:rsidRDefault="000A2F4C" w:rsidP="000A2F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A74A4" w14:textId="77777777" w:rsidR="00CB1237" w:rsidRDefault="00CB1237">
      <w:pPr>
        <w:spacing w:before="0" w:after="0"/>
      </w:pPr>
      <w:r>
        <w:separator/>
      </w:r>
    </w:p>
  </w:footnote>
  <w:footnote w:type="continuationSeparator" w:id="0">
    <w:p w14:paraId="2D5371B4" w14:textId="77777777" w:rsidR="00CB1237" w:rsidRDefault="00CB123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A3E2AA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000072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00A992"/>
    <w:multiLevelType w:val="multilevel"/>
    <w:tmpl w:val="E744B444"/>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3" w15:restartNumberingAfterBreak="0">
    <w:nsid w:val="0000A993"/>
    <w:multiLevelType w:val="multilevel"/>
    <w:tmpl w:val="5CC44E4A"/>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4" w15:restartNumberingAfterBreak="0">
    <w:nsid w:val="00A99411"/>
    <w:multiLevelType w:val="multilevel"/>
    <w:tmpl w:val="92C064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0A99413"/>
    <w:multiLevelType w:val="multilevel"/>
    <w:tmpl w:val="8AEE4DC8"/>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6" w15:restartNumberingAfterBreak="0">
    <w:nsid w:val="00A99431"/>
    <w:multiLevelType w:val="multilevel"/>
    <w:tmpl w:val="EFE844F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0A99432"/>
    <w:multiLevelType w:val="multilevel"/>
    <w:tmpl w:val="43C0A5A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8" w15:restartNumberingAfterBreak="0">
    <w:nsid w:val="0A994112"/>
    <w:multiLevelType w:val="multilevel"/>
    <w:tmpl w:val="4D3C5DEC"/>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numId="1" w16cid:durableId="344018338">
    <w:abstractNumId w:val="0"/>
  </w:num>
  <w:num w:numId="2" w16cid:durableId="1024474867">
    <w:abstractNumId w:val="0"/>
  </w:num>
  <w:num w:numId="3" w16cid:durableId="1821068856">
    <w:abstractNumId w:val="0"/>
  </w:num>
  <w:num w:numId="4" w16cid:durableId="1841239034">
    <w:abstractNumId w:val="0"/>
  </w:num>
  <w:num w:numId="5" w16cid:durableId="1318268425">
    <w:abstractNumId w:val="0"/>
  </w:num>
  <w:num w:numId="6" w16cid:durableId="191427228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1110927732">
    <w:abstractNumId w:val="0"/>
  </w:num>
  <w:num w:numId="8" w16cid:durableId="10723147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97087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903345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82097039">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16cid:durableId="1279096492">
    <w:abstractNumId w:val="0"/>
  </w:num>
  <w:num w:numId="13" w16cid:durableId="288407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4412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52427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8333029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16cid:durableId="1076173512">
    <w:abstractNumId w:val="0"/>
  </w:num>
  <w:num w:numId="18" w16cid:durableId="13155284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93995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19368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310">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16cid:durableId="1568034589">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23" w16cid:durableId="440539238">
    <w:abstractNumId w:val="0"/>
  </w:num>
  <w:num w:numId="24" w16cid:durableId="11301731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511957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303960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3668776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8" w16cid:durableId="1527910060">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29" w16cid:durableId="107118144">
    <w:abstractNumId w:val="1"/>
  </w:num>
  <w:num w:numId="30" w16cid:durableId="1628465435">
    <w:abstractNumId w:val="1"/>
  </w:num>
  <w:num w:numId="31" w16cid:durableId="482435029">
    <w:abstractNumId w:val="1"/>
  </w:num>
  <w:num w:numId="32" w16cid:durableId="1079213015">
    <w:abstractNumId w:val="1"/>
  </w:num>
  <w:num w:numId="33" w16cid:durableId="9572067">
    <w:abstractNumId w:val="1"/>
  </w:num>
  <w:num w:numId="34" w16cid:durableId="82843433">
    <w:abstractNumId w:val="1"/>
  </w:num>
  <w:num w:numId="35" w16cid:durableId="1988119988">
    <w:abstractNumId w:val="1"/>
  </w:num>
  <w:num w:numId="36" w16cid:durableId="1269964266">
    <w:abstractNumId w:val="1"/>
  </w:num>
  <w:num w:numId="37" w16cid:durableId="1571383915">
    <w:abstractNumId w:val="1"/>
  </w:num>
  <w:num w:numId="38" w16cid:durableId="1805462119">
    <w:abstractNumId w:val="1"/>
  </w:num>
  <w:num w:numId="39" w16cid:durableId="744839888">
    <w:abstractNumId w:val="1"/>
  </w:num>
  <w:num w:numId="40" w16cid:durableId="1139298157">
    <w:abstractNumId w:val="1"/>
  </w:num>
  <w:num w:numId="41" w16cid:durableId="400755359">
    <w:abstractNumId w:val="1"/>
  </w:num>
  <w:num w:numId="42" w16cid:durableId="1533882625">
    <w:abstractNumId w:val="1"/>
  </w:num>
  <w:num w:numId="43" w16cid:durableId="1251543687">
    <w:abstractNumId w:val="1"/>
  </w:num>
  <w:num w:numId="44" w16cid:durableId="1642727442">
    <w:abstractNumId w:val="1"/>
  </w:num>
  <w:num w:numId="45" w16cid:durableId="122120297">
    <w:abstractNumId w:val="1"/>
  </w:num>
  <w:num w:numId="46" w16cid:durableId="1036275928">
    <w:abstractNumId w:val="1"/>
  </w:num>
  <w:num w:numId="47" w16cid:durableId="379550650">
    <w:abstractNumId w:val="1"/>
  </w:num>
  <w:num w:numId="48" w16cid:durableId="255014883">
    <w:abstractNumId w:val="1"/>
  </w:num>
  <w:num w:numId="49" w16cid:durableId="1907720116">
    <w:abstractNumId w:val="1"/>
  </w:num>
  <w:num w:numId="50" w16cid:durableId="1675379621">
    <w:abstractNumId w:val="1"/>
  </w:num>
  <w:num w:numId="51" w16cid:durableId="90663044">
    <w:abstractNumId w:val="1"/>
  </w:num>
  <w:num w:numId="52" w16cid:durableId="392777206">
    <w:abstractNumId w:val="1"/>
  </w:num>
  <w:num w:numId="53" w16cid:durableId="543949429">
    <w:abstractNumId w:val="1"/>
  </w:num>
  <w:num w:numId="54" w16cid:durableId="2117406600">
    <w:abstractNumId w:val="1"/>
  </w:num>
  <w:num w:numId="55" w16cid:durableId="1106773433">
    <w:abstractNumId w:val="1"/>
  </w:num>
  <w:num w:numId="56" w16cid:durableId="1282685008">
    <w:abstractNumId w:val="1"/>
  </w:num>
  <w:num w:numId="57" w16cid:durableId="893586691">
    <w:abstractNumId w:val="1"/>
  </w:num>
  <w:num w:numId="58" w16cid:durableId="275142140">
    <w:abstractNumId w:val="1"/>
  </w:num>
  <w:num w:numId="59" w16cid:durableId="15846053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92508216">
    <w:abstractNumId w:val="1"/>
  </w:num>
  <w:num w:numId="61" w16cid:durableId="663508703">
    <w:abstractNumId w:val="1"/>
  </w:num>
  <w:num w:numId="62" w16cid:durableId="1549102801">
    <w:abstractNumId w:val="1"/>
  </w:num>
  <w:num w:numId="63" w16cid:durableId="1276644015">
    <w:abstractNumId w:val="0"/>
  </w:num>
  <w:num w:numId="64" w16cid:durableId="18339844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5163847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63724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35896975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8" w16cid:durableId="710880122">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69" w16cid:durableId="572159916">
    <w:abstractNumId w:val="1"/>
  </w:num>
  <w:num w:numId="70" w16cid:durableId="1347436790">
    <w:abstractNumId w:val="1"/>
  </w:num>
  <w:num w:numId="71" w16cid:durableId="29574760">
    <w:abstractNumId w:val="1"/>
  </w:num>
  <w:num w:numId="72" w16cid:durableId="1157571814">
    <w:abstractNumId w:val="1"/>
  </w:num>
  <w:num w:numId="73" w16cid:durableId="576549590">
    <w:abstractNumId w:val="1"/>
  </w:num>
  <w:num w:numId="74" w16cid:durableId="1167742228">
    <w:abstractNumId w:val="1"/>
  </w:num>
  <w:num w:numId="75" w16cid:durableId="871040895">
    <w:abstractNumId w:val="1"/>
  </w:num>
  <w:num w:numId="76" w16cid:durableId="958074510">
    <w:abstractNumId w:val="1"/>
  </w:num>
  <w:num w:numId="77" w16cid:durableId="694230980">
    <w:abstractNumId w:val="1"/>
  </w:num>
  <w:num w:numId="78" w16cid:durableId="1847592569">
    <w:abstractNumId w:val="1"/>
  </w:num>
  <w:num w:numId="79" w16cid:durableId="456723221">
    <w:abstractNumId w:val="1"/>
  </w:num>
  <w:num w:numId="80" w16cid:durableId="644237735">
    <w:abstractNumId w:val="1"/>
  </w:num>
  <w:num w:numId="81" w16cid:durableId="920873679">
    <w:abstractNumId w:val="1"/>
  </w:num>
  <w:num w:numId="82" w16cid:durableId="1519201178">
    <w:abstractNumId w:val="1"/>
  </w:num>
  <w:num w:numId="83" w16cid:durableId="1158231889">
    <w:abstractNumId w:val="1"/>
  </w:num>
  <w:num w:numId="84" w16cid:durableId="1715496627">
    <w:abstractNumId w:val="1"/>
  </w:num>
  <w:num w:numId="85" w16cid:durableId="1818525439">
    <w:abstractNumId w:val="1"/>
  </w:num>
  <w:num w:numId="86" w16cid:durableId="1013149780">
    <w:abstractNumId w:val="1"/>
  </w:num>
  <w:num w:numId="87" w16cid:durableId="2102018505">
    <w:abstractNumId w:val="1"/>
  </w:num>
  <w:num w:numId="88" w16cid:durableId="8879091">
    <w:abstractNumId w:val="1"/>
  </w:num>
  <w:num w:numId="89" w16cid:durableId="1890797373">
    <w:abstractNumId w:val="1"/>
  </w:num>
  <w:num w:numId="90" w16cid:durableId="1519078647">
    <w:abstractNumId w:val="1"/>
  </w:num>
  <w:num w:numId="91" w16cid:durableId="1449855339">
    <w:abstractNumId w:val="1"/>
  </w:num>
  <w:num w:numId="92" w16cid:durableId="1660617623">
    <w:abstractNumId w:val="1"/>
  </w:num>
  <w:num w:numId="93" w16cid:durableId="16023731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079937500">
    <w:abstractNumId w:val="1"/>
  </w:num>
  <w:num w:numId="95" w16cid:durableId="500006081">
    <w:abstractNumId w:val="1"/>
  </w:num>
  <w:num w:numId="96" w16cid:durableId="124616673">
    <w:abstractNumId w:val="1"/>
  </w:num>
  <w:num w:numId="97" w16cid:durableId="216286215">
    <w:abstractNumId w:val="0"/>
  </w:num>
  <w:num w:numId="98" w16cid:durableId="1117874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943242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7215144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25836410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 w16cid:durableId="82997949">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 w16cid:durableId="1826236121">
    <w:abstractNumId w:val="1"/>
  </w:num>
  <w:num w:numId="104" w16cid:durableId="2005353356">
    <w:abstractNumId w:val="1"/>
  </w:num>
  <w:num w:numId="105" w16cid:durableId="671839767">
    <w:abstractNumId w:val="1"/>
  </w:num>
  <w:num w:numId="106" w16cid:durableId="1520120853">
    <w:abstractNumId w:val="1"/>
  </w:num>
  <w:num w:numId="107" w16cid:durableId="1851990133">
    <w:abstractNumId w:val="1"/>
  </w:num>
  <w:num w:numId="108" w16cid:durableId="1709797604">
    <w:abstractNumId w:val="1"/>
  </w:num>
  <w:num w:numId="109" w16cid:durableId="656959874">
    <w:abstractNumId w:val="1"/>
  </w:num>
  <w:num w:numId="110" w16cid:durableId="1791512539">
    <w:abstractNumId w:val="1"/>
  </w:num>
  <w:num w:numId="111" w16cid:durableId="58023709">
    <w:abstractNumId w:val="1"/>
  </w:num>
  <w:num w:numId="112" w16cid:durableId="1782869454">
    <w:abstractNumId w:val="1"/>
  </w:num>
  <w:num w:numId="113" w16cid:durableId="2065058238">
    <w:abstractNumId w:val="1"/>
  </w:num>
  <w:num w:numId="114" w16cid:durableId="1845589146">
    <w:abstractNumId w:val="1"/>
  </w:num>
  <w:num w:numId="115" w16cid:durableId="1059481658">
    <w:abstractNumId w:val="1"/>
  </w:num>
  <w:num w:numId="116" w16cid:durableId="569968608">
    <w:abstractNumId w:val="1"/>
  </w:num>
  <w:num w:numId="117" w16cid:durableId="211385319">
    <w:abstractNumId w:val="1"/>
  </w:num>
  <w:num w:numId="118" w16cid:durableId="782115049">
    <w:abstractNumId w:val="1"/>
  </w:num>
  <w:num w:numId="119" w16cid:durableId="617301252">
    <w:abstractNumId w:val="1"/>
  </w:num>
  <w:num w:numId="120" w16cid:durableId="421411944">
    <w:abstractNumId w:val="1"/>
  </w:num>
  <w:num w:numId="121" w16cid:durableId="1312521414">
    <w:abstractNumId w:val="1"/>
  </w:num>
  <w:num w:numId="122" w16cid:durableId="632249805">
    <w:abstractNumId w:val="1"/>
  </w:num>
  <w:num w:numId="123" w16cid:durableId="1510100257">
    <w:abstractNumId w:val="1"/>
  </w:num>
  <w:num w:numId="124" w16cid:durableId="2094819277">
    <w:abstractNumId w:val="1"/>
  </w:num>
  <w:num w:numId="125" w16cid:durableId="1135296914">
    <w:abstractNumId w:val="1"/>
  </w:num>
  <w:num w:numId="126" w16cid:durableId="421725611">
    <w:abstractNumId w:val="1"/>
  </w:num>
  <w:num w:numId="127" w16cid:durableId="18912633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34420946">
    <w:abstractNumId w:val="1"/>
  </w:num>
  <w:num w:numId="129" w16cid:durableId="627317515">
    <w:abstractNumId w:val="1"/>
  </w:num>
  <w:num w:numId="130" w16cid:durableId="1297180586">
    <w:abstractNumId w:val="1"/>
  </w:num>
  <w:num w:numId="131" w16cid:durableId="1677878497">
    <w:abstractNumId w:val="0"/>
  </w:num>
  <w:num w:numId="132" w16cid:durableId="1922519157">
    <w:abstractNumId w:val="0"/>
  </w:num>
  <w:num w:numId="133" w16cid:durableId="1706833427">
    <w:abstractNumId w:val="0"/>
  </w:num>
  <w:num w:numId="134" w16cid:durableId="1040282804">
    <w:abstractNumId w:val="0"/>
  </w:num>
  <w:num w:numId="135" w16cid:durableId="786238987">
    <w:abstractNumId w:val="0"/>
  </w:num>
  <w:num w:numId="136" w16cid:durableId="1878010800">
    <w:abstractNumId w:val="1"/>
  </w:num>
  <w:num w:numId="137" w16cid:durableId="323507349">
    <w:abstractNumId w:val="1"/>
  </w:num>
  <w:num w:numId="138" w16cid:durableId="433288858">
    <w:abstractNumId w:val="0"/>
  </w:num>
  <w:num w:numId="139" w16cid:durableId="95172811">
    <w:abstractNumId w:val="1"/>
  </w:num>
  <w:num w:numId="140" w16cid:durableId="1477063461">
    <w:abstractNumId w:val="1"/>
  </w:num>
  <w:num w:numId="141" w16cid:durableId="1835486152">
    <w:abstractNumId w:val="1"/>
  </w:num>
  <w:num w:numId="142" w16cid:durableId="335806995">
    <w:abstractNumId w:val="3"/>
  </w:num>
  <w:num w:numId="143" w16cid:durableId="1824420919">
    <w:abstractNumId w:val="3"/>
  </w:num>
  <w:num w:numId="144" w16cid:durableId="850486725">
    <w:abstractNumId w:val="3"/>
  </w:num>
  <w:num w:numId="145" w16cid:durableId="443887692">
    <w:abstractNumId w:val="2"/>
  </w:num>
  <w:num w:numId="146" w16cid:durableId="1804149749">
    <w:abstractNumId w:val="2"/>
  </w:num>
  <w:num w:numId="147" w16cid:durableId="1494368282">
    <w:abstractNumId w:val="1"/>
  </w:num>
  <w:num w:numId="148" w16cid:durableId="1914658397">
    <w:abstractNumId w:val="0"/>
  </w:num>
  <w:num w:numId="149" w16cid:durableId="2017995733">
    <w:abstractNumId w:val="1"/>
  </w:num>
  <w:num w:numId="150" w16cid:durableId="30427042">
    <w:abstractNumId w:val="1"/>
  </w:num>
  <w:num w:numId="151" w16cid:durableId="1870337741">
    <w:abstractNumId w:val="1"/>
  </w:num>
  <w:num w:numId="152" w16cid:durableId="799107808">
    <w:abstractNumId w:val="3"/>
  </w:num>
  <w:num w:numId="153" w16cid:durableId="1445340804">
    <w:abstractNumId w:val="3"/>
  </w:num>
  <w:num w:numId="154" w16cid:durableId="1722048327">
    <w:abstractNumId w:val="3"/>
  </w:num>
  <w:num w:numId="155" w16cid:durableId="322244760">
    <w:abstractNumId w:val="2"/>
  </w:num>
  <w:num w:numId="156" w16cid:durableId="1666082062">
    <w:abstractNumId w:val="2"/>
  </w:num>
  <w:num w:numId="157" w16cid:durableId="210115313">
    <w:abstractNumId w:val="1"/>
  </w:num>
  <w:num w:numId="158" w16cid:durableId="149029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779"/>
    <w:rsid w:val="000175B8"/>
    <w:rsid w:val="00052946"/>
    <w:rsid w:val="00062841"/>
    <w:rsid w:val="00070816"/>
    <w:rsid w:val="000806D9"/>
    <w:rsid w:val="000A2F4C"/>
    <w:rsid w:val="00164779"/>
    <w:rsid w:val="00174551"/>
    <w:rsid w:val="001A60D4"/>
    <w:rsid w:val="001A74EC"/>
    <w:rsid w:val="001D057A"/>
    <w:rsid w:val="00204171"/>
    <w:rsid w:val="0022135A"/>
    <w:rsid w:val="002C0CA5"/>
    <w:rsid w:val="00343615"/>
    <w:rsid w:val="00345EFC"/>
    <w:rsid w:val="003A2534"/>
    <w:rsid w:val="003C5FF7"/>
    <w:rsid w:val="003F0341"/>
    <w:rsid w:val="00404A5E"/>
    <w:rsid w:val="004A0376"/>
    <w:rsid w:val="00504587"/>
    <w:rsid w:val="005407A2"/>
    <w:rsid w:val="005B159D"/>
    <w:rsid w:val="005C4B6A"/>
    <w:rsid w:val="00655B5B"/>
    <w:rsid w:val="00672CA5"/>
    <w:rsid w:val="006B5F35"/>
    <w:rsid w:val="006F2495"/>
    <w:rsid w:val="00723F3A"/>
    <w:rsid w:val="007467E2"/>
    <w:rsid w:val="00771CCD"/>
    <w:rsid w:val="007B3BDF"/>
    <w:rsid w:val="007B5AAF"/>
    <w:rsid w:val="00833580"/>
    <w:rsid w:val="00836787"/>
    <w:rsid w:val="00876643"/>
    <w:rsid w:val="00894F2D"/>
    <w:rsid w:val="008A0860"/>
    <w:rsid w:val="008E2468"/>
    <w:rsid w:val="00913886"/>
    <w:rsid w:val="009B3B25"/>
    <w:rsid w:val="00A2491C"/>
    <w:rsid w:val="00A57EDB"/>
    <w:rsid w:val="00AB74C3"/>
    <w:rsid w:val="00B3078F"/>
    <w:rsid w:val="00BB5205"/>
    <w:rsid w:val="00BC2916"/>
    <w:rsid w:val="00BD31A9"/>
    <w:rsid w:val="00BE0BEF"/>
    <w:rsid w:val="00BE4973"/>
    <w:rsid w:val="00C40BC6"/>
    <w:rsid w:val="00C670B0"/>
    <w:rsid w:val="00C752C3"/>
    <w:rsid w:val="00C97BA2"/>
    <w:rsid w:val="00CB1237"/>
    <w:rsid w:val="00D4330D"/>
    <w:rsid w:val="00DC018E"/>
    <w:rsid w:val="00E02815"/>
    <w:rsid w:val="00E322EE"/>
    <w:rsid w:val="00E37E32"/>
    <w:rsid w:val="00E615C3"/>
    <w:rsid w:val="00E70321"/>
    <w:rsid w:val="00E8579C"/>
    <w:rsid w:val="00F1108D"/>
    <w:rsid w:val="00F30F7D"/>
    <w:rsid w:val="00F335D0"/>
    <w:rsid w:val="00F45246"/>
    <w:rsid w:val="00F84592"/>
    <w:rsid w:val="00FB3D69"/>
    <w:rsid w:val="00FB559B"/>
    <w:rsid w:val="00FE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166A"/>
  <w15:docId w15:val="{05E8460F-56BC-0040-A400-A7D976C8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108D"/>
    <w:pPr>
      <w:spacing w:before="100" w:after="100"/>
    </w:pPr>
    <w:rPr>
      <w:rFonts w:ascii="Cambria" w:hAnsi="Cambria"/>
      <w:sz w:val="22"/>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57EDB"/>
    <w:pPr>
      <w:keepNext/>
      <w:keepLines/>
      <w:spacing w:before="160" w:after="80"/>
      <w:outlineLvl w:val="1"/>
    </w:pPr>
    <w:rPr>
      <w:rFonts w:eastAsiaTheme="majorEastAsia" w:cstheme="majorBidi"/>
      <w:b/>
      <w:szCs w:val="32"/>
    </w:rPr>
  </w:style>
  <w:style w:type="paragraph" w:styleId="Heading3">
    <w:name w:val="heading 3"/>
    <w:basedOn w:val="Normal"/>
    <w:next w:val="BodyText"/>
    <w:link w:val="Heading3Char"/>
    <w:uiPriority w:val="9"/>
    <w:semiHidden/>
    <w:unhideWhenUsed/>
    <w:qFormat/>
    <w:rsid w:val="007467E2"/>
    <w:pPr>
      <w:keepNext/>
      <w:keepLines/>
      <w:spacing w:before="160" w:after="80"/>
      <w:outlineLvl w:val="2"/>
    </w:pPr>
    <w:rPr>
      <w:rFonts w:eastAsiaTheme="majorEastAsia" w:cstheme="majorBidi"/>
      <w:b/>
      <w:szCs w:val="28"/>
    </w:rPr>
  </w:style>
  <w:style w:type="paragraph" w:styleId="Heading4">
    <w:name w:val="heading 4"/>
    <w:basedOn w:val="Normal"/>
    <w:next w:val="BodyText"/>
    <w:link w:val="Heading4Char"/>
    <w:uiPriority w:val="9"/>
    <w:semiHidden/>
    <w:unhideWhenUsed/>
    <w:qFormat/>
    <w:rsid w:val="00504587"/>
    <w:pPr>
      <w:keepNext/>
      <w:keepLines/>
      <w:spacing w:before="220" w:after="40"/>
      <w:outlineLvl w:val="3"/>
    </w:pPr>
    <w:rPr>
      <w:rFonts w:eastAsiaTheme="majorEastAsia" w:cstheme="majorBidi"/>
      <w:iCs/>
      <w:u w:val="single"/>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B74C3"/>
    <w:pPr>
      <w:spacing w:before="0" w:after="0"/>
    </w:pPr>
    <w:rPr>
      <w:sz w:val="16"/>
    </w:rPr>
  </w:style>
  <w:style w:type="paragraph" w:styleId="Title">
    <w:name w:val="Title"/>
    <w:basedOn w:val="Normal"/>
    <w:next w:val="BodyText"/>
    <w:link w:val="TitleChar"/>
    <w:uiPriority w:val="10"/>
    <w:qFormat/>
    <w:rsid w:val="0022135A"/>
    <w:pPr>
      <w:spacing w:after="80" w:line="360" w:lineRule="auto"/>
      <w:contextualSpacing/>
      <w:jc w:val="center"/>
    </w:pPr>
    <w:rPr>
      <w:rFonts w:eastAsiaTheme="majorEastAsia" w:cstheme="majorBidi"/>
      <w:b/>
      <w:sz w:val="28"/>
      <w:szCs w:val="56"/>
    </w:rPr>
  </w:style>
  <w:style w:type="character" w:customStyle="1" w:styleId="TitleChar">
    <w:name w:val="Title Char"/>
    <w:basedOn w:val="DefaultParagraphFont"/>
    <w:link w:val="Title"/>
    <w:uiPriority w:val="10"/>
    <w:rsid w:val="0022135A"/>
    <w:rPr>
      <w:rFonts w:ascii="Cambria" w:eastAsiaTheme="majorEastAsia" w:hAnsi="Cambria" w:cstheme="majorBidi"/>
      <w:b/>
      <w:sz w:val="28"/>
      <w:szCs w:val="56"/>
    </w:rPr>
  </w:style>
  <w:style w:type="paragraph" w:styleId="Subtitle">
    <w:name w:val="Subtitle"/>
    <w:basedOn w:val="Title"/>
    <w:next w:val="BodyText"/>
    <w:link w:val="SubtitleChar"/>
    <w:uiPriority w:val="11"/>
    <w:qFormat/>
    <w:rsid w:val="00A10FD9"/>
    <w:pPr>
      <w:numPr>
        <w:ilvl w:val="1"/>
      </w:numPr>
    </w:pPr>
    <w:rPr>
      <w:spacing w:val="15"/>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rsid w:val="003A2534"/>
    <w:pPr>
      <w:keepNext/>
      <w:keepLines/>
    </w:pPr>
    <w:rPr>
      <w:b w:val="0"/>
      <w:sz w:val="22"/>
      <w:szCs w:val="24"/>
    </w:rPr>
  </w:style>
  <w:style w:type="paragraph" w:styleId="Date">
    <w:name w:val="Date"/>
    <w:basedOn w:val="Title"/>
    <w:next w:val="BodyText"/>
    <w:qFormat/>
    <w:rsid w:val="000175B8"/>
    <w:pPr>
      <w:keepNext/>
      <w:keepLines/>
    </w:pPr>
    <w:rPr>
      <w:b w:val="0"/>
      <w:sz w:val="22"/>
      <w:szCs w:val="24"/>
    </w:rPr>
  </w:style>
  <w:style w:type="paragraph" w:customStyle="1" w:styleId="AbstractTitle">
    <w:name w:val="Abstract Title"/>
    <w:basedOn w:val="Normal"/>
    <w:next w:val="Abstract"/>
    <w:qFormat/>
    <w:rsid w:val="001D057A"/>
    <w:pPr>
      <w:keepNext/>
      <w:keepLines/>
      <w:spacing w:after="0"/>
      <w:jc w:val="center"/>
    </w:pPr>
    <w:rPr>
      <w:b/>
      <w:color w:val="FFFFFF" w:themeColor="background1"/>
      <w:sz w:val="8"/>
      <w:szCs w:val="20"/>
    </w:rPr>
  </w:style>
  <w:style w:type="paragraph" w:customStyle="1" w:styleId="Abstract">
    <w:name w:val="Abstract"/>
    <w:basedOn w:val="Normal"/>
    <w:next w:val="BodyText"/>
    <w:qFormat/>
    <w:rsid w:val="00771CCD"/>
    <w:pPr>
      <w:keepNext/>
      <w:keepLines/>
      <w:pageBreakBefore/>
      <w:spacing w:before="240" w:after="120" w:line="480" w:lineRule="auto"/>
      <w:ind w:left="1440" w:right="144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EDB"/>
    <w:rPr>
      <w:rFonts w:ascii="Arial" w:eastAsiaTheme="majorEastAsia" w:hAnsi="Arial" w:cstheme="majorBidi"/>
      <w:b/>
      <w:sz w:val="22"/>
      <w:szCs w:val="32"/>
    </w:rPr>
  </w:style>
  <w:style w:type="character" w:customStyle="1" w:styleId="Heading3Char">
    <w:name w:val="Heading 3 Char"/>
    <w:basedOn w:val="DefaultParagraphFont"/>
    <w:link w:val="Heading3"/>
    <w:uiPriority w:val="9"/>
    <w:semiHidden/>
    <w:rsid w:val="007467E2"/>
    <w:rPr>
      <w:rFonts w:ascii="Cambria" w:eastAsiaTheme="majorEastAsia" w:hAnsi="Cambria" w:cstheme="majorBidi"/>
      <w:b/>
      <w:sz w:val="22"/>
      <w:szCs w:val="28"/>
    </w:rPr>
  </w:style>
  <w:style w:type="character" w:customStyle="1" w:styleId="Heading4Char">
    <w:name w:val="Heading 4 Char"/>
    <w:basedOn w:val="DefaultParagraphFont"/>
    <w:link w:val="Heading4"/>
    <w:uiPriority w:val="9"/>
    <w:semiHidden/>
    <w:rsid w:val="00504587"/>
    <w:rPr>
      <w:rFonts w:ascii="Cambria" w:eastAsiaTheme="majorEastAsia" w:hAnsi="Cambria" w:cstheme="majorBidi"/>
      <w:iCs/>
      <w:sz w:val="22"/>
      <w:u w:val="single"/>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rsid w:val="00F84592"/>
    <w:pPr>
      <w:pBdr>
        <w:left w:val="single" w:sz="4" w:space="4" w:color="auto"/>
      </w:pBdr>
      <w:spacing w:before="100" w:after="100"/>
      <w:ind w:left="480" w:right="480"/>
    </w:pPr>
  </w:style>
  <w:style w:type="paragraph" w:styleId="FootnoteText">
    <w:name w:val="footnote text"/>
    <w:basedOn w:val="Normal"/>
    <w:uiPriority w:val="9"/>
    <w:unhideWhenUsed/>
    <w:qFormat/>
    <w:rsid w:val="00A57EDB"/>
    <w:rPr>
      <w:sz w:val="16"/>
    </w:rPr>
  </w:style>
  <w:style w:type="paragraph" w:customStyle="1" w:styleId="FootnoteBlockText">
    <w:name w:val="Footnote Block Text"/>
    <w:basedOn w:val="FootnoteText"/>
    <w:next w:val="FootnoteText"/>
    <w:uiPriority w:val="9"/>
    <w:unhideWhenUsed/>
    <w:qFormat/>
    <w:pPr>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6F2495"/>
    <w:rPr>
      <w:b/>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Normal"/>
    <w:next w:val="BodyText"/>
    <w:uiPriority w:val="39"/>
    <w:unhideWhenUsed/>
    <w:qFormat/>
    <w:rsid w:val="00C97BA2"/>
    <w:pPr>
      <w:pageBreakBefore/>
      <w:widowControl w:val="0"/>
      <w:spacing w:before="220" w:line="259" w:lineRule="auto"/>
    </w:pPr>
    <w:rPr>
      <w:b/>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rsid w:val="00070816"/>
    <w:pPr>
      <w:ind w:left="220"/>
    </w:pPr>
  </w:style>
  <w:style w:type="paragraph" w:styleId="TOC3">
    <w:name w:val="toc 3"/>
    <w:basedOn w:val="Normal"/>
    <w:next w:val="Normal"/>
    <w:autoRedefine/>
    <w:uiPriority w:val="39"/>
    <w:rsid w:val="00070816"/>
    <w:pPr>
      <w:ind w:left="440"/>
    </w:pPr>
  </w:style>
  <w:style w:type="paragraph" w:styleId="Footer">
    <w:name w:val="footer"/>
    <w:basedOn w:val="Normal"/>
    <w:link w:val="FooterChar"/>
    <w:rsid w:val="000A2F4C"/>
    <w:pPr>
      <w:tabs>
        <w:tab w:val="center" w:pos="4680"/>
        <w:tab w:val="right" w:pos="9360"/>
      </w:tabs>
      <w:spacing w:after="0"/>
    </w:pPr>
  </w:style>
  <w:style w:type="character" w:customStyle="1" w:styleId="FooterChar">
    <w:name w:val="Footer Char"/>
    <w:basedOn w:val="DefaultParagraphFont"/>
    <w:link w:val="Footer"/>
    <w:rsid w:val="000A2F4C"/>
    <w:rPr>
      <w:rFonts w:ascii="Excalifont" w:hAnsi="Excalifont"/>
      <w:sz w:val="22"/>
    </w:rPr>
  </w:style>
  <w:style w:type="character" w:styleId="PageNumber">
    <w:name w:val="page number"/>
    <w:basedOn w:val="DefaultParagraphFont"/>
    <w:rsid w:val="000A2F4C"/>
  </w:style>
  <w:style w:type="paragraph" w:customStyle="1" w:styleId="Commentary">
    <w:name w:val="Commentary"/>
    <w:basedOn w:val="BodyText"/>
    <w:qFormat/>
    <w:rsid w:val="002C0CA5"/>
    <w:pPr>
      <w:ind w:left="720" w:right="720"/>
    </w:pPr>
    <w:rPr>
      <w:rFonts w:ascii="Excalifont" w:hAnsi="Excalifont"/>
    </w:rPr>
  </w:style>
  <w:style w:type="paragraph" w:customStyle="1" w:styleId="RLIndented">
    <w:name w:val="RLIndented"/>
    <w:basedOn w:val="BodyText"/>
    <w:qFormat/>
    <w:rsid w:val="007B5AAF"/>
    <w:pPr>
      <w:ind w:left="1440" w:righ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Essays about Change</vt:lpstr>
    </vt:vector>
  </TitlesOfParts>
  <Company>Brown University</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Prevalence of Dementia and Mild Cognitive Impairment in the Health and Retirement Study</dc:title>
  <dc:creator>Richard N. Jones; Jennifer J. Manly; Douglas Tommet; Lindsay Kobayashi; Lindsay H. Ryan; Deborah A. Levine; Ryan J. McCammon; Steven G. Heeringa; David Weir; Kenneth M. Langa</dc:creator>
  <cp:keywords/>
  <cp:lastModifiedBy>Jones, Rich</cp:lastModifiedBy>
  <cp:revision>2</cp:revision>
  <dcterms:created xsi:type="dcterms:W3CDTF">2025-07-23T08:52:00Z</dcterms:created>
  <dcterms:modified xsi:type="dcterms:W3CDTF">2025-07-23T08:52:00Z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Importance: Dementia and mild cognitive impairment (MCI) are common in older adults, but their prevalence is not well understood and challenging to assess in large population-based studies. Objective: Describe the prevalence of MCI and dementia in the Health and Retirement Study (HRS), using a novel approach to classifying dementia informed by the recently completed wave 1 of the Harmonized Cognitive Assessment Protocol (HCAP) study. Design: Cross-sectional analysis of the 2016 HRS Core sample, validation using existing consensus panel classifications. Main Outcomes and Measures: The prevalence of dementia and MCI is XYZ and PDQ. Our algorithm shows poor agreement with consensus standard classifications (weighted kappa = 0.33), but this is due to difficulties in reaching agreement regarding mild cognitive impairment, and the agreement statistic is excellent for dementia versus less impaired cognition (kappa = 0.77). Conclusions: The accurate classification of MCI is challenging in field research settings. This can’t be surprising, because the concept’s originator has steadfastly resisted attempts to operationally define it. Clearly more work is needed to develop a reliable and valid classification of MCI in field studies.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date">
    <vt:lpwstr>2025-07-22</vt:lpwstr>
  </property>
  <property fmtid="{D5CDD505-2E9C-101B-9397-08002B2CF9AE}" pid="9" name="editor">
    <vt:lpwstr>source</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