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Appendix 3: Comparisons with other study classifications</w:t>
      </w:r>
    </w:p>
    <w:p>
      <w:pPr>
        <w:pStyle w:val="Date"/>
        <w:keepNext w:val="true"/>
        <w:keepLines/>
        <w:widowControl/>
        <w:bidi w:val="0"/>
        <w:spacing w:before="0" w:after="220"/>
        <w:jc w:val="center"/>
        <w:rPr/>
      </w:pPr>
      <w:r>
        <w:rPr/>
        <w:t>2026-10-21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2026-10-21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2026-10-21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2026-10-21T12:53:26Z</dcterms:created>
  <dc:creator/>
  <dc:description/>
  <dc:language>en-US</dc:language>
  <cp:lastModifiedBy/>
  <dcterms:modified xsi:type="dcterms:W3CDTF">2026-10-21T12:53:26Z</dcterms:modified>
  <cp:revision>0</cp:revision>
  <dc:subject/>
  <dc:title>Appendix 3: Comparisons with other study classifications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2026-10-21</vt:lpwstr>
  </property>
  <property fmtid="{D5CDD505-2E9C-101B-9397-08002B2CF9AE}" pid="4" name="editor">
    <vt:lpwstr>source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