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2026-10-21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0.353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0.429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0.505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using measures collected in the HRS Core, calibrated to the HRS/HCAP Algorithm and scored in the HRS/HCAP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Calibration parameters fixed for scoring; scored in the same HRS/HCAP sample used for calibration (in-sample classification); not yet applied to the HRS Core sample outside HCAP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Class proportions (priors)</w:t>
      </w:r>
    </w:p>
    <w:p>
      <w:pPr>
        <w:pStyle w:val="Compact"/>
        <w:numPr>
          <w:ilvl w:val="1"/>
          <w:numId w:val="1"/>
        </w:numPr>
        <w:rPr/>
      </w:pPr>
      <w:r>
        <w:rPr/>
        <w:t>Class-specific parameters estimated with HCAP16WGTR; MLR estimation, Bayes-rule posterior classification (plug-in rule; McLachlan, 1992)</w:t>
      </w:r>
    </w:p>
    <w:p>
      <w:pPr>
        <w:pStyle w:val="Compact"/>
        <w:numPr>
          <w:ilvl w:val="1"/>
          <w:numId w:val="1"/>
        </w:numPr>
        <w:rPr/>
      </w:pPr>
      <w:r>
        <w:rPr/>
        <w:t>Class proportions fixed at the HCAP16WGTR-weighted HRS/HCAP Algorithm distribution, computed outside Mplus; Mplus KNOWNCLASS estimates class proportions from unweighted counts</w:t>
      </w:r>
    </w:p>
    <w:p>
      <w:pPr>
        <w:pStyle w:val="Compact"/>
        <w:numPr>
          <w:ilvl w:val="2"/>
          <w:numId w:val="1"/>
        </w:numPr>
        <w:rPr/>
      </w:pPr>
      <w:r>
        <w:rPr/>
        <w:t>Cognition model: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Jorm model: Normal 31.7%, MCI 31.6%, Dementia 36.7%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R/PMM_101_mplus_function.R; R/PMM_103_calibration_model.R; R/PMM_104_weight_check.R; mplus_output/pmm_103/pmm_hcap_103b.out; mplus_output/pmm_103_jorm/pmm_hcap_103b_jorm.out]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HCAP16WGTR-weighted margins</w:t>
      </w:r>
    </w:p>
    <w:p>
      <w:pPr>
        <w:pStyle w:val="Compact"/>
        <w:numPr>
          <w:ilvl w:val="2"/>
          <w:numId w:val="1"/>
        </w:numPr>
        <w:rPr/>
      </w:pPr>
      <w:r>
        <w:rPr/>
        <w:t>HRS/HCAP Algorithm: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Core algorithm: Normal 71.0%, MCI 20.7%, Dementia 8.3%</w:t>
      </w:r>
    </w:p>
    <w:p>
      <w:pPr>
        <w:pStyle w:val="Compact"/>
        <w:numPr>
          <w:ilvl w:val="2"/>
          <w:numId w:val="1"/>
        </w:numPr>
        <w:rPr/>
      </w:pPr>
      <w:r>
        <w:rPr/>
        <w:t>PMM: Normal 76.7%, MCI 13.6%, Dementia 9.7%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Core algorithm</w:t>
      </w:r>
    </w:p>
    <w:p>
      <w:pPr>
        <w:pStyle w:val="Compact"/>
        <w:numPr>
          <w:ilvl w:val="1"/>
          <w:numId w:val="1"/>
        </w:numPr>
        <w:rPr/>
      </w:pPr>
      <w:r>
        <w:rPr/>
        <w:t>Classification rules and participant counts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R/MS_MAIN/MS_Tab_Fig_Apndx-020-Figure-1.qmd]</w:t>
      </w:r>
    </w:p>
    <w:p>
      <w:pPr>
        <w:pStyle w:val="Compact"/>
        <w:numPr>
          <w:ilvl w:val="0"/>
          <w:numId w:val="1"/>
        </w:numPr>
        <w:rPr/>
      </w:pPr>
      <w:r>
        <w:rPr/>
        <w:t>Figure 2: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0.505; binary kappa 0.353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0.429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PMM agreement with the HRS/HCAP Algorithm is in-sample (apparent error rate; McLachlan, 1992); expected to be optimistic relative to application in new samples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inference; R/PMM_103_calibration_model.R]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2026-10-21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2026-10-21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2026-10-21T12:52:57Z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2026-10-21T12:52:57Z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2026-10-21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