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Adaptation of the Manly-Jones algorithm to the HRS core survey data</w:t>
      </w:r>
    </w:p>
    <w:p>
      <w:pPr>
        <w:pStyle w:val="Date"/>
        <w:rPr/>
      </w:pPr>
      <w:r>
        <w:rPr/>
        <w:t>2026-10-17</w:t>
      </w:r>
    </w:p>
    <w:p>
      <w:pPr>
        <w:pStyle w:val="Heading2"/>
        <w:rPr/>
      </w:pPr>
      <w:bookmarkStart w:id="0" w:name="purpose-and-overview"/>
      <w:r>
        <w:rPr/>
        <w:t>Purpose and overview</w:t>
      </w:r>
    </w:p>
    <w:p>
      <w:pPr>
        <w:pStyle w:val="FirstParagraph"/>
        <w:rPr/>
      </w:pPr>
      <w:r>
        <w:rPr/>
        <w:t>The analysis of the incidence of MCI and dementia in the HRS-HCAP Wave 1 sample is supported by a cognitive classification at the last HRS core interview for participants who died or dropped out before HRS-HCAP Wave 2 (2022). The Manly et al. (2022) algorithm cannot be applied to core interview data as written, as it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The HRS core interview, which has measured cognition in older adults every 2 years since the 1990s with brief tests (Crimmins et al., 2011; Ofstedal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 To address these differences, we constructed an adaptation we call the “core algorithm”, that follows the logic of the Manly-Jones algorithm with core measures and is calibrated to the Manly-Jones classifications of the same people at HCAP Wave 1 (2016).</w:t>
      </w:r>
    </w:p>
    <w:p>
      <w:pPr>
        <w:pStyle w:val="BodyText"/>
        <w:rPr/>
      </w:pPr>
      <w:r>
        <w:rPr/>
        <w:t>The core algorithm has 4 steps (Figure A1): (1) a single cognitive factor score is estimated from the core items; (2) the factor score is normed against the HRS-HCAP robust normative sample and expressed as a demographically adjusted T score; (3) decision rules combine the T score with self-rated memory change, or use the informant questionnaire when no cognitive tests were completed; using (4) T-score cut points set so that the weighted class shares match those of the Manly-Jones algorithm at HCAP Wave 1 (2016). 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or age, but the scoring model does not change. The same item thresholds, norms, and cut points convert a 2022 response pattern exactly as they would convert the same pattern observed in 2016.</w:t>
      </w:r>
    </w:p>
    <w:p>
      <w:pPr>
        <w:pStyle w:val="CaptionedFigure"/>
        <w:rPr/>
      </w:pPr>
      <w:r>
        <w:rPr/>
        <w:drawing>
          <wp:inline distT="0" distB="0" distL="0" distR="0">
            <wp:extent cx="5930900" cy="4562475"/>
            <wp:effectExtent l="0" t="0" r="0" b="0"/>
            <wp:docPr id="1" name="Picture" descr="Figure A1. Core algorithm decision structure. Cut points are those selected in Step 4; counts at each node are in Table A3. IQCODE: Informant Questionnaire on Cognitive Decline in the Elderly. Memory worse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Cut points are those selected in Step 4; counts at each node are in Table A3. IQCODE: Informant Questionnaire on Cognitive Decline in the Elderly. Memory worse includes don’t know, refused, and not ascertained."/>
                    <pic:cNvPicPr>
                      <a:picLocks noChangeAspect="1" noChangeArrowheads="1"/>
                    </pic:cNvPicPr>
                  </pic:nvPicPr>
                  <pic:blipFill>
                    <a:blip r:embed="rId2"/>
                    <a:stretch>
                      <a:fillRect/>
                    </a:stretch>
                  </pic:blipFill>
                  <pic:spPr bwMode="auto">
                    <a:xfrm>
                      <a:off x="0" y="0"/>
                      <a:ext cx="5930900" cy="4562475"/>
                    </a:xfrm>
                    <a:prstGeom prst="rect">
                      <a:avLst/>
                    </a:prstGeom>
                    <a:noFill/>
                  </pic:spPr>
                </pic:pic>
              </a:graphicData>
            </a:graphic>
          </wp:inline>
        </w:drawing>
      </w:r>
    </w:p>
    <w:p>
      <w:pPr>
        <w:pStyle w:val="ImageCaption"/>
        <w:rPr/>
      </w:pPr>
      <w:r>
        <w:rPr/>
        <w:t>Figure A1. Core algorithm decision structure. Cut points are those selected in Step 4; counts at each node are in Table A3. IQCODE: Informant Questionnaire on Cognitive Decline in the Elderly. Memory worse includes don’t know, refused, and not ascertained.</w:t>
      </w:r>
      <w:bookmarkEnd w:id="0"/>
    </w:p>
    <w:p>
      <w:pPr>
        <w:pStyle w:val="Heading2"/>
        <w:rPr/>
      </w:pPr>
      <w:bookmarkStart w:id="1" w:name="data"/>
      <w:r>
        <w:rPr/>
        <w:t>Data</w:t>
      </w:r>
    </w:p>
    <w:p>
      <w:pPr>
        <w:pStyle w:val="FirstParagraph"/>
        <w:rPr/>
      </w:pPr>
      <w:r>
        <w:rPr/>
        <w:t>The analytic sample is the 3,496 HRS-HCAP Wave 1 (2016) participants, followed in the HRS core interviews of 2016, 2018, 2020, and 2022. The core algorithm uses 4 kinds of core data: (1) the 8 cognitive items in Table A1; (2) self-rated memory compared with 2 years ago (HRS item D102: better, about the same, or worse); (3) the 16-item informant questionnaire (IQCODE; Jorm, 1994), scored as the mean item rating from 1 (much improved) to 5 (much worse) and collected in proxy interviews; and (4) age, sex, race and ethnicity (non-Hispanic Black, Hispanic), and years of schooling. 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pPr>
        <w:pStyle w:val="Heading2"/>
        <w:rPr/>
      </w:pPr>
      <w:r>
        <w:rPr/>
        <w:t>Step 1. A single cognitive score from the core battery</w:t>
      </w:r>
    </w:p>
    <w:p>
      <w:pPr>
        <w:pStyle w:val="FirstParagraph"/>
        <w:rPr/>
      </w:pPr>
      <w:r>
        <w:rPr/>
        <w:t>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Ofstedal et al., 2005), and a mix of item formats (counts with ceilings, a pass/fail item, and continuous scores). In the core data, the 5 domain scores cannot be estimated with useful precision.</w:t>
      </w:r>
    </w:p>
    <w:p>
      <w:pPr>
        <w:pStyle w:val="BodyText"/>
        <w:rPr/>
      </w:pPr>
      <w:r>
        <w:rPr/>
        <w:t>We addressed this with a single-factor confirmatory factor analysis (CFA) model that treats every item on its own scale. Ordinal and binary items entered through probit thresholds, and the 3 continuous scores (animal naming, delayed word recall, and number series) were rescaled to the 0-1 range (continuous) of 2016 responses. The model was fit to HRS 2016 respondents aged 65 and older (N = 9,218) with the complex sample design (64 strata, 121 clusters) and the HRS-HCAP Wave 1 weights. Respondents outside HRS-HCAP received a weight of 0, so the estimates describe the population that HRS-HCAP represents (3,283 HRS-HCAP participants with at least 1 HRS core item response). Model fit was evaluated in the pairwise complete sample with the weighted least squares mean and variance adjusted (WLSMV) estimator using Mplus software (version 9, Muthén &amp; Muthén, Los Angeles, CA). Item parameters were then estimated by maximum likelihood with robust standard errors (MLR) and a probit link, which uses every available item response. In subsequent factor score estimation runs, all parameters were fixed at the HCAP Wave 1 estimates. Expected a posteriori (EAP) factor scores (Bock &amp; Mislevy,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p>
    <w:p>
      <w:pPr>
        <w:pStyle w:val="BodyText"/>
        <w:rPr/>
      </w:pPr>
      <w:r>
        <w:rPr/>
        <w:t>The single-factor model fit well (RMSEA = 0.035, 90% CI 0.031 to 0.039; CFI = 0.966; TLI = 0.952; SRMR = 0.047)</w:t>
      </w:r>
      <w:r>
        <w:rPr>
          <w:rStyle w:val="FootnoteReference"/>
        </w:rPr>
        <w:footnoteReference w:id="2"/>
      </w:r>
      <w:r>
        <w:rPr/>
        <w:t>, by the conventional guides of Hu and Bentler (1999).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WLSMV estimates item correlations from pairwise-present data and assumes data are missing completely at random, whereas MLR uses all available responses and assumes data are missing at random.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80"/>
        <w:gridCol w:w="3744"/>
        <w:gridCol w:w="1439"/>
        <w:gridCol w:w="1297"/>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 HRS core cognitive items and standardized factor loadings</w:t>
            </w:r>
          </w:p>
        </w:tc>
      </w:tr>
      <w:tr>
        <w:trPr>
          <w:tblHeader w:val="true"/>
          <w:trHeight w:val="360" w:hRule="atLeast"/>
        </w:trPr>
        <w:tc>
          <w:tcPr>
            <w:tcW w:w="288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Item</w:t>
            </w:r>
          </w:p>
        </w:tc>
        <w:tc>
          <w:tcPr>
            <w:tcW w:w="3744"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Scoring</w:t>
            </w:r>
          </w:p>
        </w:tc>
        <w:tc>
          <w:tcPr>
            <w:tcW w:w="143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(MLR, used for scoring)</w:t>
            </w:r>
          </w:p>
        </w:tc>
        <w:tc>
          <w:tcPr>
            <w:tcW w:w="129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(WLSMV)</w:t>
            </w:r>
          </w:p>
        </w:tc>
      </w:tr>
      <w:tr>
        <w:trPr>
          <w:trHeight w:val="360" w:hRule="atLeast"/>
        </w:trPr>
        <w:tc>
          <w:tcPr>
            <w:tcW w:w="2880"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3744"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Month, day, year, day of week; 0-4 correct (ordinal)</w:t>
            </w:r>
          </w:p>
        </w:tc>
        <w:tc>
          <w:tcPr>
            <w:tcW w:w="1439"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0.48</w:t>
            </w:r>
          </w:p>
        </w:tc>
        <w:tc>
          <w:tcPr>
            <w:tcW w:w="1297"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r>
      <w:tr>
        <w:trPr>
          <w:trHeight w:val="360" w:hRule="atLeast"/>
        </w:trPr>
        <w:tc>
          <w:tcPr>
            <w:tcW w:w="28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3744"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Animals named minus errors; rescaled to 0-1 (continuous)</w:t>
            </w:r>
          </w:p>
        </w:tc>
        <w:tc>
          <w:tcPr>
            <w:tcW w:w="143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r>
      <w:tr>
        <w:trPr>
          <w:trHeight w:val="360" w:hRule="atLeast"/>
        </w:trPr>
        <w:tc>
          <w:tcPr>
            <w:tcW w:w="28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 (scissors, cactus)</w:t>
            </w:r>
          </w:p>
        </w:tc>
        <w:tc>
          <w:tcPr>
            <w:tcW w:w="3744"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0.68</w:t>
            </w:r>
          </w:p>
        </w:tc>
        <w:tc>
          <w:tcPr>
            <w:tcW w:w="129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0.84</w:t>
            </w:r>
          </w:p>
        </w:tc>
      </w:tr>
      <w:tr>
        <w:trPr>
          <w:trHeight w:val="360" w:hRule="atLeast"/>
        </w:trPr>
        <w:tc>
          <w:tcPr>
            <w:tcW w:w="28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Naming the President and Vice President</w:t>
            </w:r>
          </w:p>
        </w:tc>
        <w:tc>
          <w:tcPr>
            <w:tcW w:w="3744"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3744"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0-10 words; rescaled to 0-1 (continuous)</w:t>
            </w:r>
          </w:p>
        </w:tc>
        <w:tc>
          <w:tcPr>
            <w:tcW w:w="143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c>
          <w:tcPr>
            <w:tcW w:w="129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3744"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Score rescaled to 0-1 (continuous)</w:t>
            </w:r>
          </w:p>
        </w:tc>
        <w:tc>
          <w:tcPr>
            <w:tcW w:w="143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0.71</w:t>
            </w:r>
          </w:p>
        </w:tc>
        <w:tc>
          <w:tcPr>
            <w:tcW w:w="129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0.62</w:t>
            </w:r>
          </w:p>
        </w:tc>
      </w:tr>
      <w:tr>
        <w:trPr>
          <w:trHeight w:val="360" w:hRule="atLeast"/>
        </w:trPr>
        <w:tc>
          <w:tcPr>
            <w:tcW w:w="28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3744"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 correct (ordinal)</w:t>
            </w:r>
          </w:p>
        </w:tc>
        <w:tc>
          <w:tcPr>
            <w:tcW w:w="143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0.66</w:t>
            </w:r>
          </w:p>
        </w:tc>
        <w:tc>
          <w:tcPr>
            <w:tcW w:w="129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r>
      <w:tr>
        <w:trPr>
          <w:trHeight w:val="360" w:hRule="atLeast"/>
        </w:trPr>
        <w:tc>
          <w:tcPr>
            <w:tcW w:w="2880"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3744"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Correct on first or second try (binary)</w:t>
            </w:r>
          </w:p>
        </w:tc>
        <w:tc>
          <w:tcPr>
            <w:tcW w:w="1439"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297"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Single-factor model fit to HRS 2016 respondents aged 65 and older (N = 9,218) with HRS-HCAP weights (HCAP16WGTR; weight 0 outside HRS-HCAP), 64 strata and 121 clusters. Loadings are standardized (STDYX). Continuous items were rescaled to 0-1 using the 2016 range. WLSMV fit: chi-square = 248.5 (df = 20), RMSEA = 0.035, CFI = 0.966, TLI = 0.952, SRMR = 0.047. Source: R/A7_050-mplus_model.R.</w:t>
            </w:r>
            <w:bookmarkStart w:id="2" w:name="X741d24518151ff2d6a48158f4cd2b7447d9397a"/>
            <w:bookmarkEnd w:id="2"/>
          </w:p>
        </w:tc>
      </w:tr>
    </w:tbl>
    <w:p>
      <w:pPr>
        <w:pStyle w:val="Heading2"/>
        <w:rPr/>
      </w:pPr>
      <w:r>
        <w:rPr/>
        <w:t>Step 2. Demographic norms</w:t>
      </w:r>
    </w:p>
    <w:p>
      <w:pPr>
        <w:pStyle w:val="FirstParagraph"/>
        <w:rPr/>
      </w:pPr>
      <w:r>
        <w:rP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pPr>
        <w:pStyle w:val="BodyText"/>
        <w:rPr/>
      </w:pPr>
      <w:r>
        <w:rPr/>
        <w:t>The robust normative sample (n = 1,787) is used to define “expected” cognitive performance levels.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This regression converts any factor score, including scores from people outside the normative sample and from later waves, to the normalized metric.</w:t>
      </w:r>
    </w:p>
    <w:p>
      <w:pPr>
        <w:pStyle w:val="BodyText"/>
        <w:rPr/>
      </w:pPr>
      <w:r>
        <w:rPr/>
        <w:t>Then, normalized score was regressed, with survey weights, on age (restricted cubic spline with knots at 70, 78, 86, 94 years, centered at 70), sex, non-Hispanic Black race, Hispanic ethnicity, and years of schooling (centered at 12), together with their 2-way interactions (24 terms; R</w:t>
      </w:r>
      <w:r>
        <w:rPr>
          <w:vertAlign w:val="superscript"/>
        </w:rPr>
        <w:t>2</w:t>
      </w:r>
      <w:r>
        <w:rPr/>
        <w:t xml:space="preserve"> = 0.37). This demographic equation is used to define the expected score.</w:t>
      </w:r>
    </w:p>
    <w:p>
      <w:pPr>
        <w:pStyle w:val="BodyText"/>
        <w:rPr/>
      </w:pPr>
      <w:r>
        <w:rPr/>
        <w:t>Finally, the T score was computed as 50 + 10 × (observed − expected) / 0.775, where the denominator is the standard error of the estimate from the demographic regression in the normative sample (the SD of the normalized score, 0.973, multiplied by √(1 − R</w:t>
      </w:r>
      <w:r>
        <w:rPr>
          <w:vertAlign w:val="superscript"/>
        </w:rPr>
        <w:t>2</w:t>
      </w:r>
      <w:r>
        <w:rPr/>
        <w:t>)).</w:t>
      </w:r>
    </w:p>
    <w:p>
      <w:pPr>
        <w:pStyle w:val="BodyText"/>
        <w:rPr/>
      </w:pPr>
      <w:r>
        <w:rPr/>
        <w:t>A T score of 40 therefore means performance 1 residual standard deviation (0.775 normalized-score units) below the level expected for a person of the same age, sex, race, ethnicity, and education; the same residual standard deviation is assumed for every demographic group. In HRS-HCAP Wave 1, the unweighted mean (SD) T score was 50 (10) in the normative sample and 43 (12) among participants excluded from it. Age is updated at each wave, so the expected score generally falls as a participant ages. A participant whose factor score declines at the rate implied by the 2016 cross-sectional age gradient keeps a stable T score, and an incident impairment classification requires decline faster than that gradient.</w:t>
      </w:r>
    </w:p>
    <w:p>
      <w:pPr>
        <w:pStyle w:val="Heading2"/>
        <w:rPr/>
      </w:pPr>
      <w:r>
        <w:rPr/>
        <w:t>Step 3. Classification rules</w:t>
      </w:r>
    </w:p>
    <w:p>
      <w:pPr>
        <w:pStyle w:val="FirstParagraph"/>
        <w:rPr/>
      </w:pPr>
      <w:r>
        <w:rPr/>
        <w:t>In the Manly-Jones algorithm, dementia requires at least 2 impaired domains and an informant report of functional impairment, and MCI requires at least 1 impaired domain with informant-reported concern or self-reported memory worsening (Manly et al., 2022). The core interview has no domains, and it has no informant report for respondents who answer for themselves.</w:t>
      </w:r>
    </w:p>
    <w:p>
      <w:pPr>
        <w:pStyle w:val="BodyText"/>
        <w:rPr/>
      </w:pPr>
      <w:r>
        <w:rPr/>
        <w:t>We replaced each element with its closest core counterpart (Table A2). Two T-score cut points stand in for the domain count: T below the severe cut point corresponds to impairment in 2 or more domains, and T between the severe and moderate cut points corresponds to impairment in 1 domain. Self-rated memory worsening, the item the Manly-Jones algorithm already uses for MCI, takes the place of informant report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Groothuis-Oudshoorn, 2011); no Wave 1 participant with a T score was missing it, and “don’t know,” refused, and not ascertained responses (4 participants) were counted as worse, which assigns these participants to the more impaired class.</w:t>
      </w:r>
    </w:p>
    <w:p>
      <w:pPr>
        <w:pStyle w:val="BodyText"/>
        <w:rPr/>
      </w:pPr>
      <w:r>
        <w:rPr/>
        <w:t>The memory rule decides the class of most participants with low T scores. Of the 724 Wave 1 participants with T below 38.5, 487 (67.3%) reported that their memory was the same as or better than 2 years earlier and were classified as having MCI rather than dementia (Table A3). This pattern may reflect reduced awareness of memory loss among people with dementia, a possibility these data cannot test; either way, the rule likely moves some people who meet the Manly-Jones criteria for dementia into the MCI class.</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872"/>
        <w:gridCol w:w="2160"/>
        <w:gridCol w:w="2447"/>
        <w:gridCol w:w="864"/>
        <w:gridCol w:w="2017"/>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A2. Core algorithm decision rules</w:t>
            </w:r>
          </w:p>
        </w:tc>
      </w:tr>
      <w:tr>
        <w:trPr>
          <w:tblHeader w:val="true"/>
          <w:trHeight w:val="360" w:hRule="atLeast"/>
        </w:trPr>
        <w:tc>
          <w:tcPr>
            <w:tcW w:w="187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Route</w:t>
            </w:r>
          </w:p>
        </w:tc>
        <w:tc>
          <w:tcPr>
            <w:tcW w:w="216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criterion</w:t>
            </w:r>
          </w:p>
        </w:tc>
        <w:tc>
          <w:tcPr>
            <w:tcW w:w="3311" w:type="dxa"/>
            <w:gridSpan w:val="2"/>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Second criterion</w:t>
            </w:r>
          </w:p>
        </w:tc>
        <w:tc>
          <w:tcPr>
            <w:tcW w:w="201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r>
      <w:tr>
        <w:trPr>
          <w:trHeight w:val="360" w:hRule="atLeast"/>
        </w:trPr>
        <w:tc>
          <w:tcPr>
            <w:tcW w:w="187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160"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38.5</w:t>
            </w:r>
          </w:p>
        </w:tc>
        <w:tc>
          <w:tcPr>
            <w:tcW w:w="3311" w:type="dxa"/>
            <w:gridSpan w:val="2"/>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2017"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18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16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38.5</w:t>
            </w:r>
          </w:p>
        </w:tc>
        <w:tc>
          <w:tcPr>
            <w:tcW w:w="331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201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r>
      <w:tr>
        <w:trPr>
          <w:trHeight w:val="360" w:hRule="atLeast"/>
        </w:trPr>
        <w:tc>
          <w:tcPr>
            <w:tcW w:w="18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16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 ≤ T &lt; 46.5</w:t>
            </w:r>
          </w:p>
        </w:tc>
        <w:tc>
          <w:tcPr>
            <w:tcW w:w="331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201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r>
      <w:tr>
        <w:trPr>
          <w:trHeight w:val="360" w:hRule="atLeast"/>
        </w:trPr>
        <w:tc>
          <w:tcPr>
            <w:tcW w:w="18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16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 ≤ T &lt; 46.5</w:t>
            </w:r>
          </w:p>
        </w:tc>
        <w:tc>
          <w:tcPr>
            <w:tcW w:w="331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201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r>
      <w:tr>
        <w:trPr>
          <w:trHeight w:val="360" w:hRule="atLeast"/>
        </w:trPr>
        <w:tc>
          <w:tcPr>
            <w:tcW w:w="18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16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 46.5</w:t>
            </w:r>
          </w:p>
        </w:tc>
        <w:tc>
          <w:tcPr>
            <w:tcW w:w="331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w:t>
            </w:r>
          </w:p>
        </w:tc>
        <w:tc>
          <w:tcPr>
            <w:tcW w:w="201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r>
      <w:tr>
        <w:trPr>
          <w:trHeight w:val="360" w:hRule="atLeast"/>
        </w:trPr>
        <w:tc>
          <w:tcPr>
            <w:tcW w:w="18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16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31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3.4</w:t>
            </w:r>
          </w:p>
        </w:tc>
        <w:tc>
          <w:tcPr>
            <w:tcW w:w="201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18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16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31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 &lt; IQCODE &lt; 3.4</w:t>
            </w:r>
          </w:p>
        </w:tc>
        <w:tc>
          <w:tcPr>
            <w:tcW w:w="201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r>
      <w:tr>
        <w:trPr>
          <w:trHeight w:val="360" w:hRule="atLeast"/>
        </w:trPr>
        <w:tc>
          <w:tcPr>
            <w:tcW w:w="187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160"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311" w:type="dxa"/>
            <w:gridSpan w:val="2"/>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3.0</w:t>
            </w:r>
          </w:p>
        </w:tc>
        <w:tc>
          <w:tcPr>
            <w:tcW w:w="2017"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 Source: R/A7_060-algorithm_functions.R; R/A7_075-implement_algorithm.R.</w:t>
            </w:r>
          </w:p>
        </w:tc>
      </w:tr>
      <w:tr>
        <w:trPr>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A3. Participants at each node of the core algorithm, HRS-HCAP Wave 1 (2016)</w:t>
            </w:r>
          </w:p>
        </w:tc>
      </w:tr>
      <w:tr>
        <w:trPr>
          <w:trHeight w:val="360" w:hRule="atLeast"/>
        </w:trPr>
        <w:tc>
          <w:tcPr>
            <w:tcW w:w="6479" w:type="dxa"/>
            <w:gridSpan w:val="3"/>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Node</w:t>
            </w:r>
          </w:p>
        </w:tc>
        <w:tc>
          <w:tcPr>
            <w:tcW w:w="2881" w:type="dxa"/>
            <w:gridSpan w:val="2"/>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r>
      <w:tr>
        <w:trPr>
          <w:trHeight w:val="360" w:hRule="atLeast"/>
        </w:trPr>
        <w:tc>
          <w:tcPr>
            <w:tcW w:w="6479" w:type="dxa"/>
            <w:gridSpan w:val="3"/>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HRS-HCAP Wave 1 participants</w:t>
            </w:r>
          </w:p>
        </w:tc>
        <w:tc>
          <w:tcPr>
            <w:tcW w:w="2881" w:type="dxa"/>
            <w:gridSpan w:val="2"/>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3,496</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core cognitive tests (IQCODE route)</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IQCODE: Dementia</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IQCODE: MCI</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IQCODE: Normal</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38.5</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724</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Memory worse: Dementia</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237</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Memory not worse: MCI</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487</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 ≤ T &lt; 46.5</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835</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Memory worse: MCI</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243</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Memory not worse: Normal</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592</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 46.5: Normal</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1,724</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 classified Normal</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2,385</w:t>
            </w:r>
          </w:p>
        </w:tc>
      </w:tr>
      <w:tr>
        <w:trPr>
          <w:trHeight w:val="360" w:hRule="atLeast"/>
        </w:trPr>
        <w:tc>
          <w:tcPr>
            <w:tcW w:w="6479" w:type="dxa"/>
            <w:gridSpan w:val="3"/>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 classified MCI</w:t>
            </w:r>
          </w:p>
        </w:tc>
        <w:tc>
          <w:tcPr>
            <w:tcW w:w="2881" w:type="dxa"/>
            <w:gridSpan w:val="2"/>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767</w:t>
            </w:r>
          </w:p>
        </w:tc>
      </w:tr>
      <w:tr>
        <w:trPr>
          <w:trHeight w:val="360" w:hRule="atLeast"/>
        </w:trPr>
        <w:tc>
          <w:tcPr>
            <w:tcW w:w="6479" w:type="dxa"/>
            <w:gridSpan w:val="3"/>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 classified Dementia</w:t>
            </w:r>
          </w:p>
        </w:tc>
        <w:tc>
          <w:tcPr>
            <w:tcW w:w="2881" w:type="dxa"/>
            <w:gridSpan w:val="2"/>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344</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Unweighted counts. Source: R/A7_075-implement_algorithm.R.</w:t>
            </w:r>
            <w:bookmarkStart w:id="3" w:name="step-3.-classification-rules"/>
            <w:bookmarkEnd w:id="3"/>
          </w:p>
        </w:tc>
      </w:tr>
    </w:tbl>
    <w:p>
      <w:pPr>
        <w:pStyle w:val="Heading2"/>
        <w:rPr/>
      </w:pPr>
      <w:r>
        <w:rPr/>
        <w:t>Step 4. Cut points by prevalence matching</w:t>
      </w:r>
    </w:p>
    <w:p>
      <w:pPr>
        <w:pStyle w:val="FirstParagraph"/>
        <w:rPr/>
      </w:pPr>
      <w:r>
        <w:rPr/>
        <w:t>The fourth problem is where to place the cut points. No point on a single T score corresponds by construction to “2 or more domains more than 1.5 standard deviations below expectation,” because the single score pools information that the Manly-Jones algorithm keeps separate. The cut points must be set empirically.</w:t>
      </w:r>
    </w:p>
    <w:p>
      <w:pPr>
        <w:pStyle w:val="BodyText"/>
        <w:rPr/>
      </w:pPr>
      <w:r>
        <w:rPr/>
        <w:t>We set them by prevalence matching: the cut points were chosen so that the weighted Normal, MCI, and dementia shares of the core algorithm match those of the Manly-Jones algorithm in HRS-HCAP Wave 1 (N = 3,496). We evaluated every pair of cut points on a grid (severe cut point 25 to 50, moderate cut point 30 to 60, in steps of 0.5), applying the memory and IQCODE rules unchanged, and selected the pair that minimized the sum of squared differences between the 3 core and Manly-Jones shares, with ties broken by the higher weighted kappa. The dementia share depends only on the severe cut point, and the MCI share depends on both, so the search amounts to reading 2 curves (Figure A2). We matched shares, rather than maximizing agreement, because incidence and prevalence estimates depend on class shares; matching keeps population estimates from core data on the same footing as estimates from HRS-HCAP data. Matching shares does not guarantee that the same people are classified alike, and we report agreement separately below.</w:t>
      </w:r>
    </w:p>
    <w:p>
      <w:pPr>
        <w:pStyle w:val="BodyText"/>
        <w:rPr/>
      </w:pPr>
      <w:r>
        <w:rPr/>
        <w:t>The selected cut points were T &lt; 38.5 (severe) and T &lt; 46.5 (moderate). With these cut points the weighted shares were 69.6% normal, 21.2% MCI, and 9.1% dementia, against 69.4%, 21.4%, and 9.2% for the Manly-Jones algorithm (Table A4). The cut points used before this calibration (T &lt; 37 and T &lt; 48) gave 20.7% MCI and 8.3% dementia. The pair with the highest 3-class kappa (0.52, at T &lt; 36 and T &lt; 42.5) gave 14.8% MCI and 7.8% dementia. The cut points were chosen and evaluated in the same sample, so the agreement statistics in Tables A4 and A5 are likely optimistic.</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695"/>
        <w:gridCol w:w="851"/>
        <w:gridCol w:w="992"/>
        <w:gridCol w:w="922"/>
        <w:gridCol w:w="780"/>
        <w:gridCol w:w="1065"/>
        <w:gridCol w:w="992"/>
        <w:gridCol w:w="1065"/>
      </w:tblGrid>
      <w:tr>
        <w:trPr>
          <w:tblHeader w:val="true"/>
          <w:trHeight w:val="360" w:hRule="atLeast"/>
        </w:trPr>
        <w:tc>
          <w:tcPr>
            <w:tcW w:w="9362" w:type="dxa"/>
            <w:gridSpan w:val="8"/>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A4. T-score cut points: selected, previous, and kappa-maximizing</w:t>
            </w:r>
          </w:p>
        </w:tc>
      </w:tr>
      <w:tr>
        <w:trPr>
          <w:tblHeader w:val="true"/>
          <w:trHeight w:val="360" w:hRule="atLeast"/>
        </w:trPr>
        <w:tc>
          <w:tcPr>
            <w:tcW w:w="2695"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Set</w:t>
            </w:r>
          </w:p>
        </w:tc>
        <w:tc>
          <w:tcPr>
            <w:tcW w:w="851"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9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92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 %</w:t>
            </w:r>
          </w:p>
        </w:tc>
        <w:tc>
          <w:tcPr>
            <w:tcW w:w="78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1065"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99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065"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r>
      <w:tr>
        <w:trPr>
          <w:trHeight w:val="360" w:hRule="atLeast"/>
        </w:trPr>
        <w:tc>
          <w:tcPr>
            <w:tcW w:w="2695"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Selected (prevalence matching)</w:t>
            </w:r>
          </w:p>
        </w:tc>
        <w:tc>
          <w:tcPr>
            <w:tcW w:w="851"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w:t>
            </w:r>
          </w:p>
        </w:tc>
        <w:tc>
          <w:tcPr>
            <w:tcW w:w="99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46.5</w:t>
            </w:r>
          </w:p>
        </w:tc>
        <w:tc>
          <w:tcPr>
            <w:tcW w:w="92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69.6</w:t>
            </w:r>
          </w:p>
        </w:tc>
        <w:tc>
          <w:tcPr>
            <w:tcW w:w="780"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21.2</w:t>
            </w:r>
          </w:p>
        </w:tc>
        <w:tc>
          <w:tcPr>
            <w:tcW w:w="1065"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c>
          <w:tcPr>
            <w:tcW w:w="99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065"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r>
      <w:tr>
        <w:trPr>
          <w:trHeight w:val="360" w:hRule="atLeast"/>
        </w:trPr>
        <w:tc>
          <w:tcPr>
            <w:tcW w:w="2695"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Previous</w:t>
            </w:r>
          </w:p>
        </w:tc>
        <w:tc>
          <w:tcPr>
            <w:tcW w:w="851"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w:t>
            </w:r>
          </w:p>
        </w:tc>
        <w:tc>
          <w:tcPr>
            <w:tcW w:w="99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48</w:t>
            </w:r>
          </w:p>
        </w:tc>
        <w:tc>
          <w:tcPr>
            <w:tcW w:w="92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71.0</w:t>
            </w:r>
          </w:p>
        </w:tc>
        <w:tc>
          <w:tcPr>
            <w:tcW w:w="7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20.7</w:t>
            </w:r>
          </w:p>
        </w:tc>
        <w:tc>
          <w:tcPr>
            <w:tcW w:w="1065"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w:t>
            </w:r>
          </w:p>
        </w:tc>
        <w:tc>
          <w:tcPr>
            <w:tcW w:w="99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065"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r>
      <w:tr>
        <w:trPr>
          <w:trHeight w:val="360" w:hRule="atLeast"/>
        </w:trPr>
        <w:tc>
          <w:tcPr>
            <w:tcW w:w="2695"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Highest 3-class kappa</w:t>
            </w:r>
          </w:p>
        </w:tc>
        <w:tc>
          <w:tcPr>
            <w:tcW w:w="851"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36</w:t>
            </w:r>
          </w:p>
        </w:tc>
        <w:tc>
          <w:tcPr>
            <w:tcW w:w="99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42.5</w:t>
            </w:r>
          </w:p>
        </w:tc>
        <w:tc>
          <w:tcPr>
            <w:tcW w:w="92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77.4</w:t>
            </w:r>
          </w:p>
        </w:tc>
        <w:tc>
          <w:tcPr>
            <w:tcW w:w="78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14.8</w:t>
            </w:r>
          </w:p>
        </w:tc>
        <w:tc>
          <w:tcPr>
            <w:tcW w:w="1065"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w:t>
            </w:r>
          </w:p>
        </w:tc>
        <w:tc>
          <w:tcPr>
            <w:tcW w:w="99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065"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r>
      <w:tr>
        <w:trPr>
          <w:trHeight w:val="360" w:hRule="atLeast"/>
        </w:trPr>
        <w:tc>
          <w:tcPr>
            <w:tcW w:w="2695"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Target: Manly-Jones algorithm</w:t>
            </w:r>
          </w:p>
        </w:tc>
        <w:tc>
          <w:tcPr>
            <w:tcW w:w="851"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99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92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69.4</w:t>
            </w:r>
          </w:p>
        </w:tc>
        <w:tc>
          <w:tcPr>
            <w:tcW w:w="780"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065"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99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1065"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r>
      <w:tr>
        <w:trPr>
          <w:trHeight w:val="360" w:hRule="atLeast"/>
        </w:trPr>
        <w:tc>
          <w:tcPr>
            <w:tcW w:w="9362"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HRS-HCAP Wave 1, N = 3,496. Percentages and kappas are weighted (HCAP16WGTR). Kappas compare the core algorithm with the Manly-Jones algorithm (3-class: quadratic weights; dementia: dementia versus not). Grid step 0.5 T-score points. Cut points were chosen and evaluated in the same sample. Source: R/A7_070-threshold_calibration.R.</w:t>
            </w:r>
          </w:p>
        </w:tc>
      </w:tr>
    </w:tbl>
    <w:p>
      <w:pPr>
        <w:pStyle w:val="CaptionedFigure"/>
        <w:rPr/>
      </w:pPr>
      <w:r>
        <w:rPr/>
        <w:drawing>
          <wp:inline distT="0" distB="0" distL="0" distR="0">
            <wp:extent cx="5930900" cy="2737485"/>
            <wp:effectExtent l="0" t="0" r="0" b="0"/>
            <wp:doc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pic:cNvPicPr>
                      <a:picLocks noChangeAspect="1" noChangeArrowheads="1"/>
                    </pic:cNvPicPr>
                  </pic:nvPicPr>
                  <pic:blipFill>
                    <a:blip r:embed="rId3"/>
                    <a:stretch>
                      <a:fillRect/>
                    </a:stretch>
                  </pic:blipFill>
                  <pic:spPr bwMode="auto">
                    <a:xfrm>
                      <a:off x="0" y="0"/>
                      <a:ext cx="5930900" cy="2737485"/>
                    </a:xfrm>
                    <a:prstGeom prst="rect">
                      <a:avLst/>
                    </a:prstGeom>
                    <a:noFill/>
                  </pic:spPr>
                </pic:pic>
              </a:graphicData>
            </a:graphic>
          </wp:inline>
        </w:drawing>
      </w:r>
    </w:p>
    <w:p>
      <w:pPr>
        <w:pStyle w:val="ImageCaption"/>
        <w:rPr/>
      </w:pPr>
      <w:r>
        <w:rPr/>
        <w:t>Figure A2. Weighted class shares of the core algorithm across cut points, HRS-HCAP Wave 1. Panel A: dementia share by severe cut point. Panel B: MCI share by moderate cut point, at the selected severe cut point. Dashed lines: Manly-Jones shares. Vertical lines: selected cut points.</w:t>
      </w:r>
    </w:p>
    <w:p>
      <w:pPr>
        <w:pStyle w:val="Heading2"/>
        <w:rPr/>
      </w:pPr>
      <w:r>
        <w:rPr/>
        <w:t>Agreement with the Manly-Jones algorithm in HRS-HCAP Wave 1</w:t>
      </w:r>
    </w:p>
    <w:p>
      <w:pPr>
        <w:pStyle w:val="FirstParagraph"/>
        <w:rPr/>
      </w:pPr>
      <w:r>
        <w:rPr/>
        <w:t>For the 3 classes, agreement of the core algorithm with the Manly-Jones algorithm was about the same as the agreement of Langa-Weir; for dementia versus not, it was lower than that of Langa-Weir (Table A5). The quadratic weighted kappa for the 3 classes was 0.50 for the core algorithm and 0.51 for Langa-Weir (Cohen, 1968);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and 0.41 (dementia). Each kappa compares 2 classifications that both contain error, so these values describe agreement and not accuracy; agreement with clinical consensus diagnoses in HRS-HCAP is reported elsewhere (Farron et al., 2026).</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510"/>
        <w:gridCol w:w="1359"/>
        <w:gridCol w:w="1812"/>
        <w:gridCol w:w="1811"/>
        <w:gridCol w:w="1813"/>
        <w:gridCol w:w="1057"/>
      </w:tblGrid>
      <w:tr>
        <w:trPr>
          <w:tblHeader w:val="true"/>
          <w:trHeight w:val="360" w:hRule="atLeast"/>
        </w:trPr>
        <w:tc>
          <w:tcPr>
            <w:tcW w:w="9362" w:type="dxa"/>
            <w:gridSpan w:val="6"/>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A5. Weighted cross-classification of the core algorithm and Langa-Weir with the Manly-Jones algorithm, HRS-HCAP Wave 1</w:t>
            </w:r>
          </w:p>
        </w:tc>
      </w:tr>
      <w:tr>
        <w:trPr>
          <w:tblHeader w:val="true"/>
          <w:trHeight w:val="360" w:hRule="atLeast"/>
        </w:trPr>
        <w:tc>
          <w:tcPr>
            <w:tcW w:w="151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w:t>
            </w:r>
          </w:p>
        </w:tc>
        <w:tc>
          <w:tcPr>
            <w:tcW w:w="135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181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Normal</w:t>
            </w:r>
          </w:p>
        </w:tc>
        <w:tc>
          <w:tcPr>
            <w:tcW w:w="1811"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MCI</w:t>
            </w:r>
          </w:p>
        </w:tc>
        <w:tc>
          <w:tcPr>
            <w:tcW w:w="1813"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Dementia</w:t>
            </w:r>
          </w:p>
        </w:tc>
        <w:tc>
          <w:tcPr>
            <w:tcW w:w="105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w:t>
            </w:r>
          </w:p>
        </w:tc>
      </w:tr>
      <w:tr>
        <w:trPr>
          <w:trHeight w:val="360" w:hRule="atLeast"/>
        </w:trPr>
        <w:tc>
          <w:tcPr>
            <w:tcW w:w="1510"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28,842 (83%)</w:t>
            </w:r>
          </w:p>
        </w:tc>
        <w:tc>
          <w:tcPr>
            <w:tcW w:w="1811"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4,941 (14%)</w:t>
            </w:r>
          </w:p>
        </w:tc>
        <w:tc>
          <w:tcPr>
            <w:tcW w:w="1813"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1,005 (3%)</w:t>
            </w:r>
          </w:p>
        </w:tc>
        <w:tc>
          <w:tcPr>
            <w:tcW w:w="1057"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1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5,262 (49%)</w:t>
            </w:r>
          </w:p>
        </w:tc>
        <w:tc>
          <w:tcPr>
            <w:tcW w:w="1811"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3,712 (35%)</w:t>
            </w:r>
          </w:p>
        </w:tc>
        <w:tc>
          <w:tcPr>
            <w:tcW w:w="1813"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 (16%)</w:t>
            </w:r>
          </w:p>
        </w:tc>
        <w:tc>
          <w:tcPr>
            <w:tcW w:w="105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1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798 (17%)</w:t>
            </w:r>
          </w:p>
        </w:tc>
        <w:tc>
          <w:tcPr>
            <w:tcW w:w="1811"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1,991 (43%)</w:t>
            </w:r>
          </w:p>
        </w:tc>
        <w:tc>
          <w:tcPr>
            <w:tcW w:w="1813"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1,831 (40%)</w:t>
            </w:r>
          </w:p>
        </w:tc>
        <w:tc>
          <w:tcPr>
            <w:tcW w:w="105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151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30,246 (87%)</w:t>
            </w:r>
          </w:p>
        </w:tc>
        <w:tc>
          <w:tcPr>
            <w:tcW w:w="1811"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4,091 (12%)</w:t>
            </w:r>
          </w:p>
        </w:tc>
        <w:tc>
          <w:tcPr>
            <w:tcW w:w="1813"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450 (1%)</w:t>
            </w:r>
          </w:p>
        </w:tc>
        <w:tc>
          <w:tcPr>
            <w:tcW w:w="105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1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6,070 (57%)</w:t>
            </w:r>
          </w:p>
        </w:tc>
        <w:tc>
          <w:tcPr>
            <w:tcW w:w="1811"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3,120 (29%)</w:t>
            </w:r>
          </w:p>
        </w:tc>
        <w:tc>
          <w:tcPr>
            <w:tcW w:w="1813"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1,535 (14%)</w:t>
            </w:r>
          </w:p>
        </w:tc>
        <w:tc>
          <w:tcPr>
            <w:tcW w:w="105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10"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1,220 (26%)</w:t>
            </w:r>
          </w:p>
        </w:tc>
        <w:tc>
          <w:tcPr>
            <w:tcW w:w="1811"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1,439 (31%)</w:t>
            </w:r>
          </w:p>
        </w:tc>
        <w:tc>
          <w:tcPr>
            <w:tcW w:w="1813"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1,961 (42%)</w:t>
            </w:r>
          </w:p>
        </w:tc>
        <w:tc>
          <w:tcPr>
            <w:tcW w:w="1057"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9362" w:type="dxa"/>
            <w:gridSpan w:val="6"/>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Quadratic weighted kappa (3-class): core 0.50, Langa-Weir 0.51. Kappa (dementia versus not): core 0.34, Langa-Weir 0.41. Source: R/A7_100-comparison_of_diagnoses.R.</w:t>
            </w:r>
            <w:bookmarkStart w:id="4" w:name="X6f90831553facbdff0393737338b34a601173c9"/>
            <w:bookmarkEnd w:id="4"/>
          </w:p>
        </w:tc>
      </w:tr>
    </w:tbl>
    <w:p>
      <w:pPr>
        <w:pStyle w:val="Heading2"/>
        <w:rPr/>
      </w:pPr>
      <w:r>
        <w:rPr/>
        <w:t>Application to the 2018, 2020, and 2022 core interviews</w:t>
      </w:r>
    </w:p>
    <w:p>
      <w:pPr>
        <w:pStyle w:val="FirstParagraph"/>
        <w:rPr/>
      </w:pPr>
      <w:r>
        <w:rP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p>
      <w:pPr>
        <w:pStyle w:val="BodyText"/>
        <w:rPr/>
      </w:pPr>
      <w:r>
        <w:rPr/>
        <w:t>One wave departs from the others. Number series was not administered in the 2018 core interview (no 2018 respondent has a score), so 2018 EAP scores rest on 7 items. With less information, an EAP score is pulled further toward the population mean (Bock &amp; Mislevy, 1982), which raises the scores of low performers and may classify fewer participants as impaired in 2018 than the same performance would produce in other waves. We did not re-norm the 7-item score. In the incidence analysis, 2018 is the last classified interview for participants who died or dropped out between the 2018 and 2020 interviews, and their final classification carries this bias.</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857"/>
        <w:gridCol w:w="1072"/>
        <w:gridCol w:w="1142"/>
        <w:gridCol w:w="1000"/>
        <w:gridCol w:w="1073"/>
        <w:gridCol w:w="1499"/>
        <w:gridCol w:w="1358"/>
        <w:gridCol w:w="1359"/>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A6. Core algorithm classifications of HRS-HCAP Wave 1 participants interviewed in the HRS core, 2016-2022</w:t>
            </w:r>
          </w:p>
        </w:tc>
      </w:tr>
      <w:tr>
        <w:trPr>
          <w:tblHeader w:val="true"/>
          <w:trHeight w:val="360" w:hRule="atLeast"/>
        </w:trPr>
        <w:tc>
          <w:tcPr>
            <w:tcW w:w="857"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w:t>
            </w:r>
          </w:p>
        </w:tc>
        <w:tc>
          <w:tcPr>
            <w:tcW w:w="107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1142"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1000"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only</w:t>
            </w:r>
          </w:p>
        </w:tc>
        <w:tc>
          <w:tcPr>
            <w:tcW w:w="1073"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Not classified</w:t>
            </w:r>
          </w:p>
        </w:tc>
        <w:tc>
          <w:tcPr>
            <w:tcW w:w="149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358"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359" w:type="dxa"/>
            <w:tcBorders>
              <w:top w:val="single" w:sz="12" w:space="0" w:color="666666"/>
              <w:bottom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857"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07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3,496</w:t>
            </w:r>
          </w:p>
        </w:tc>
        <w:tc>
          <w:tcPr>
            <w:tcW w:w="1142"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3,283</w:t>
            </w:r>
          </w:p>
        </w:tc>
        <w:tc>
          <w:tcPr>
            <w:tcW w:w="1000"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1073"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2,385 (68.2%)</w:t>
            </w:r>
          </w:p>
        </w:tc>
        <w:tc>
          <w:tcPr>
            <w:tcW w:w="1358"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767 (21.9%)</w:t>
            </w:r>
          </w:p>
        </w:tc>
        <w:tc>
          <w:tcPr>
            <w:tcW w:w="1359" w:type="dxa"/>
            <w:tcBorders>
              <w:top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344 (9.8%)</w:t>
            </w:r>
          </w:p>
        </w:tc>
      </w:tr>
      <w:tr>
        <w:trPr>
          <w:trHeight w:val="360" w:hRule="atLeast"/>
        </w:trPr>
        <w:tc>
          <w:tcPr>
            <w:tcW w:w="85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2,989</w:t>
            </w:r>
          </w:p>
        </w:tc>
        <w:tc>
          <w:tcPr>
            <w:tcW w:w="114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2,836</w:t>
            </w:r>
          </w:p>
        </w:tc>
        <w:tc>
          <w:tcPr>
            <w:tcW w:w="100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152</w:t>
            </w:r>
          </w:p>
        </w:tc>
        <w:tc>
          <w:tcPr>
            <w:tcW w:w="1073"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2,135 (71.5%)</w:t>
            </w:r>
          </w:p>
        </w:tc>
        <w:tc>
          <w:tcPr>
            <w:tcW w:w="1358"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606 (20.3%)</w:t>
            </w:r>
          </w:p>
        </w:tc>
        <w:tc>
          <w:tcPr>
            <w:tcW w:w="135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247 (8.3%)</w:t>
            </w:r>
          </w:p>
        </w:tc>
      </w:tr>
      <w:tr>
        <w:trPr>
          <w:trHeight w:val="360" w:hRule="atLeast"/>
        </w:trPr>
        <w:tc>
          <w:tcPr>
            <w:tcW w:w="857"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07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2,558</w:t>
            </w:r>
          </w:p>
        </w:tc>
        <w:tc>
          <w:tcPr>
            <w:tcW w:w="1142"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2,380</w:t>
            </w:r>
          </w:p>
        </w:tc>
        <w:tc>
          <w:tcPr>
            <w:tcW w:w="1000"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178</w:t>
            </w:r>
          </w:p>
        </w:tc>
        <w:tc>
          <w:tcPr>
            <w:tcW w:w="1073"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1,891 (73.9%)</w:t>
            </w:r>
          </w:p>
        </w:tc>
        <w:tc>
          <w:tcPr>
            <w:tcW w:w="1358"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466 (18.2%)</w:t>
            </w:r>
          </w:p>
        </w:tc>
        <w:tc>
          <w:tcPr>
            <w:tcW w:w="1359" w:type="dxa"/>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(7.9%)</w:t>
            </w:r>
          </w:p>
        </w:tc>
      </w:tr>
      <w:tr>
        <w:trPr>
          <w:trHeight w:val="360" w:hRule="atLeast"/>
        </w:trPr>
        <w:tc>
          <w:tcPr>
            <w:tcW w:w="857"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c>
          <w:tcPr>
            <w:tcW w:w="107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2,050</w:t>
            </w:r>
          </w:p>
        </w:tc>
        <w:tc>
          <w:tcPr>
            <w:tcW w:w="1142"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1,907</w:t>
            </w:r>
          </w:p>
        </w:tc>
        <w:tc>
          <w:tcPr>
            <w:tcW w:w="1000"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073"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1,468 (71.6%)</w:t>
            </w:r>
          </w:p>
        </w:tc>
        <w:tc>
          <w:tcPr>
            <w:tcW w:w="1358"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380 (18.5%)</w:t>
            </w:r>
          </w:p>
        </w:tc>
        <w:tc>
          <w:tcPr>
            <w:tcW w:w="1359" w:type="dxa"/>
            <w:tcBorders>
              <w:bottom w:val="single" w:sz="12" w:space="0" w:color="666666"/>
            </w:tcBorders>
            <w:shd w:color="auto" w:fill="FFFFFF" w:val="clea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(9.8%)</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Unweighted counts of person-waves; percentages among classified person-waves. Not classified: no cognitive tests and no IQCODE. Number series was not administered in the 2018 core interview, so 2018 T scores rest on 7 items. Source: R/A7_075-implement_algorithm.R.</w:t>
            </w:r>
          </w:p>
        </w:tc>
      </w:tr>
    </w:tbl>
    <w:p>
      <w:pPr>
        <w:pStyle w:val="Heading2"/>
        <w:rPr/>
      </w:pPr>
      <w:r>
        <w:rPr/>
        <w:t>Limitations</w:t>
      </w:r>
    </w:p>
    <w:p>
      <w:pPr>
        <w:pStyle w:val="FirstParagraph"/>
        <w:rPr/>
      </w:pPr>
      <w:r>
        <w:rPr/>
        <w:t>Limitations of our approach are worth mentioning. First, the cut points were selected and evaluated in the same HRS-HCAP Wave 1 sample, so the agreement in Tables A4 and A5 is in-sample. The comparison of core-based and HRS-HCAP-based classifications among Wave 2 re-interviewees (eTables 7 and 8) is the out-of-sample check available in these data. 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eTable 8. Third, the 2018 scores rest on 7 items (above). Fourth, the norms do not account for interview mode, which varies across respondents and waves; a mode difference in test scores would shift T scores in the waves where the mode mix differs from 2016. Fifth, core respondents take the same tests every 2 years, but by 2016 respondents aged 65 and older had already completed several prior core assessments, and the normative sample shares that history, so the added practice effect from 2016 to 2022 is likely small. Sixth, the IQCODE in the core interview asks about change over 2 years, whereas the HRS-HCAP informant interview asks about change over 10 years, so the Manly-Jones IQCODE thresholds may not carry the same meaning in core proxy interviews. Seventh, the kappas are point estimates; we have not yet estimated their sampling error under the complex design.</w:t>
      </w:r>
    </w:p>
    <w:p>
      <w:pPr>
        <w:pStyle w:val="Heading2"/>
        <w:rPr/>
      </w:pPr>
      <w:bookmarkStart w:id="5" w:name="references"/>
      <w:r>
        <w:rPr/>
        <w:t>References</w:t>
      </w:r>
    </w:p>
    <w:p>
      <w:pPr>
        <w:pStyle w:val="FirstParagraph"/>
        <w:rPr/>
      </w:pPr>
      <w:r>
        <w:rPr/>
        <w:t xml:space="preserve">Asparouhov, T., &amp; Muthén, B. (2018). </w:t>
      </w:r>
      <w:r>
        <w:rPr>
          <w:i/>
          <w:iCs/>
        </w:rPr>
        <w:t>SRMR in Mplus</w:t>
      </w:r>
      <w:r>
        <w:rPr/>
        <w:t xml:space="preserve"> [Technical note]. Muthén &amp; Muthén. https://www.statmodel.com/download/SRMR2.pdf</w:t>
      </w:r>
    </w:p>
    <w:p>
      <w:pPr>
        <w:pStyle w:val="BodyText"/>
        <w:rPr/>
      </w:pPr>
      <w:r>
        <w:rPr/>
        <w:t xml:space="preserve">Bentler, P. M. (1990). Comparative fit indexes in structural models. </w:t>
      </w:r>
      <w:r>
        <w:rPr>
          <w:i/>
          <w:iCs/>
        </w:rPr>
        <w:t>Psychological Bulletin, 107</w:t>
      </w:r>
      <w:r>
        <w:rPr/>
        <w:t>(2), 238-246. https://doi.org/10.1037/0033-2909.107.2.238</w:t>
      </w:r>
    </w:p>
    <w:p>
      <w:pPr>
        <w:pStyle w:val="BodyText"/>
        <w:rPr/>
      </w:pPr>
      <w:r>
        <w:rPr/>
        <w:t xml:space="preserve">Blom, G. (1958). </w:t>
      </w:r>
      <w:r>
        <w:rPr>
          <w:i/>
          <w:iCs/>
        </w:rPr>
        <w:t>Statistical estimates and transformed beta-variables</w:t>
      </w:r>
      <w:r>
        <w:rPr/>
        <w:t>. Wiley.</w:t>
      </w:r>
    </w:p>
    <w:p>
      <w:pPr>
        <w:pStyle w:val="BodyText"/>
        <w:rPr/>
      </w:pPr>
      <w:r>
        <w:rPr/>
        <w:t xml:space="preserve">Bock, R. D., &amp; Mislevy, R. J. (1982). Adaptive EAP estimation of ability in a microcomputer environment. </w:t>
      </w:r>
      <w:r>
        <w:rPr>
          <w:i/>
          <w:iCs/>
        </w:rPr>
        <w:t>Applied Psychological Measurement, 6</w:t>
      </w:r>
      <w:r>
        <w:rPr/>
        <w:t>(4), 431-444. https://doi.org/10.1177/014662168200600405</w:t>
      </w:r>
    </w:p>
    <w:p>
      <w:pPr>
        <w:pStyle w:val="BodyText"/>
        <w:rPr/>
      </w:pPr>
      <w:r>
        <w:rPr/>
        <w:t xml:space="preserve">Cohen, J. (1968). Weighted kappa: Nominal scale agreement with provision for scaled disagreement or partial credit. </w:t>
      </w:r>
      <w:r>
        <w:rPr>
          <w:i/>
          <w:iCs/>
        </w:rPr>
        <w:t>Psychological Bulletin, 70</w:t>
      </w:r>
      <w:r>
        <w:rPr/>
        <w:t>(4), 213-220. https://doi.org/10.1037/h0026256</w:t>
      </w:r>
    </w:p>
    <w:p>
      <w:pPr>
        <w:pStyle w:val="BodyText"/>
        <w:rPr/>
      </w:pPr>
      <w:r>
        <w:rP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rPr/>
        <w:t>(S1), i162-i171. https://doi.org/10.1093/geronb/gbr048</w:t>
      </w:r>
    </w:p>
    <w:p>
      <w:pPr>
        <w:pStyle w:val="BodyText"/>
        <w:rPr/>
      </w:pPr>
      <w:r>
        <w:rP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rPr/>
        <w:t>(5-6), 292-301. https://doi.org/10.1177/08982643251335370</w:t>
      </w:r>
    </w:p>
    <w:p>
      <w:pPr>
        <w:pStyle w:val="BodyText"/>
        <w:rPr/>
      </w:pPr>
      <w:r>
        <w:rPr/>
        <w:t xml:space="preserve">Harrell, F. E., Jr. (2015). </w:t>
      </w:r>
      <w:r>
        <w:rPr>
          <w:i/>
          <w:iCs/>
        </w:rPr>
        <w:t>Regression modeling strategies</w:t>
      </w:r>
      <w:r>
        <w:rPr/>
        <w:t xml:space="preserve"> (2nd ed.). Springer.</w:t>
      </w:r>
    </w:p>
    <w:p>
      <w:pPr>
        <w:pStyle w:val="BodyText"/>
        <w:rPr/>
      </w:pPr>
      <w:r>
        <w:rPr/>
        <w:t xml:space="preserve">Hu, L., &amp; Bentler, P. M. (1999). Cutoff criteria for fit indexes in covariance structure analysis: Conventional criteria versus new alternatives. </w:t>
      </w:r>
      <w:r>
        <w:rPr>
          <w:i/>
          <w:iCs/>
        </w:rPr>
        <w:t>Structural Equation Modeling, 6</w:t>
      </w:r>
      <w:r>
        <w:rPr/>
        <w:t>(1), 1-55. https://doi.org/10.1080/10705519909540118</w:t>
      </w:r>
    </w:p>
    <w:p>
      <w:pPr>
        <w:pStyle w:val="BodyText"/>
        <w:rPr/>
      </w:pPr>
      <w:r>
        <w:rP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rPr/>
        <w:t>(1), 47-55. https://doi.org/10.1017/S135561772300019X</w:t>
      </w:r>
    </w:p>
    <w:p>
      <w:pPr>
        <w:pStyle w:val="BodyText"/>
        <w:rPr/>
      </w:pPr>
      <w:r>
        <w:rPr/>
        <w:t xml:space="preserve">Jorm, A. F. (1994). A short form of the Informant Questionnaire on Cognitive Decline in the Elderly (IQCODE): Development and cross-validation. </w:t>
      </w:r>
      <w:r>
        <w:rPr>
          <w:i/>
          <w:iCs/>
        </w:rPr>
        <w:t>Psychological Medicine, 24</w:t>
      </w:r>
      <w:r>
        <w:rPr/>
        <w:t>(1), 145-153. https://doi.org/10.1017/S003329170002691X</w:t>
      </w:r>
    </w:p>
    <w:p>
      <w:pPr>
        <w:pStyle w:val="BodyText"/>
        <w:rPr/>
      </w:pPr>
      <w:r>
        <w:rPr/>
        <w:t xml:space="preserve">Langa, K. M., Ryan, L. H., McCammon, R. J., et al. (2020). The Health and Retirement Study Harmonized Cognitive Assessment Protocol Project: Study design and methods. </w:t>
      </w:r>
      <w:r>
        <w:rPr>
          <w:i/>
          <w:iCs/>
        </w:rPr>
        <w:t>Neuroepidemiology, 54</w:t>
      </w:r>
      <w:r>
        <w:rPr/>
        <w:t>(1), 64-74. https://doi.org/10.1159/000503004</w:t>
      </w:r>
    </w:p>
    <w:p>
      <w:pPr>
        <w:pStyle w:val="BodyText"/>
        <w:rPr/>
      </w:pPr>
      <w:r>
        <w:rP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rPr/>
        <w:t>(12), 1242-1249. https://doi.org/10.1001/jamaneurol.2022.3543</w:t>
      </w:r>
    </w:p>
    <w:p>
      <w:pPr>
        <w:pStyle w:val="BodyText"/>
        <w:rPr/>
      </w:pPr>
      <w:r>
        <w:rPr/>
        <w:t xml:space="preserve">Ofstedal, M. B., Fisher, G. G., &amp; Herzog, A. R. (2005). </w:t>
      </w:r>
      <w:r>
        <w:rPr>
          <w:i/>
          <w:iCs/>
        </w:rPr>
        <w:t>Documentation of cognitive functioning measures in the Health and Retirement Study</w:t>
      </w:r>
      <w:r>
        <w:rPr/>
        <w:t xml:space="preserve"> (HRS Documentation Report DR-006). University of Michigan. https://doi.org/10.7302/24800</w:t>
      </w:r>
    </w:p>
    <w:p>
      <w:pPr>
        <w:pStyle w:val="BodyText"/>
        <w:rPr/>
      </w:pPr>
      <w:r>
        <w:rPr/>
        <w:t xml:space="preserve">Steiger, J. H. (1990). Structural model evaluation and modification: An interval estimation approach. </w:t>
      </w:r>
      <w:r>
        <w:rPr>
          <w:i/>
          <w:iCs/>
        </w:rPr>
        <w:t>Multivariate Behavioral Research, 25</w:t>
      </w:r>
      <w:r>
        <w:rPr/>
        <w:t>(2), 173-180. https://doi.org/10.1207/s15327906mbr2502_4</w:t>
      </w:r>
    </w:p>
    <w:p>
      <w:pPr>
        <w:pStyle w:val="BodyText"/>
        <w:rPr/>
      </w:pPr>
      <w:r>
        <w:rPr/>
        <w:t xml:space="preserve">Tucker, L. R., &amp; Lewis, C. (1973). A reliability coefficient for maximum likelihood factor analysis. </w:t>
      </w:r>
      <w:r>
        <w:rPr>
          <w:i/>
          <w:iCs/>
        </w:rPr>
        <w:t>Psychometrika, 38</w:t>
      </w:r>
      <w:r>
        <w:rPr/>
        <w:t>(1), 1-10. https://doi.org/10.1007/BF02291170</w:t>
      </w:r>
    </w:p>
    <w:p>
      <w:pPr>
        <w:pStyle w:val="BodyText"/>
        <w:spacing w:lineRule="auto" w:line="360" w:before="180" w:after="180"/>
        <w:rPr/>
      </w:pPr>
      <w:r>
        <w:rPr/>
        <w:t xml:space="preserve">van Buuren, S., &amp; Groothuis-Oudshoorn, K. (2011). mice: Multivariate imputation by chained equations in R. </w:t>
      </w:r>
      <w:r>
        <w:rPr>
          <w:i/>
          <w:iCs/>
        </w:rPr>
        <w:t>Journal of Statistical Software, 45</w:t>
      </w:r>
      <w:r>
        <w:rPr/>
        <w:t>(3), 1-67. https://doi.org/10.18637/jss.v045.i03</w:t>
      </w:r>
      <w:bookmarkEnd w:id="5"/>
    </w:p>
    <w:sectPr>
      <w:footerReference w:type="even" r:id="rId4"/>
      <w:footerReference w:type="default" r:id="rId5"/>
      <w:footerReference w:type="first" r:id="rId6"/>
      <w:footnotePr>
        <w:numFmt w:val="decimal"/>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2026-10-17</w:t>
    </w:r>
    <w:r>
      <w:rPr/>
      <w:fldChar w:fldCharType="end"/>
    </w:r>
    <w:r>
      <mc:AlternateContent>
        <mc:Choice Requires="wps">
          <w:drawing>
            <wp:anchor distT="0" distB="0" distL="0" distR="0" simplePos="0" relativeHeight="15" behindDoc="0" locked="0" layoutInCell="0" allowOverlap="1">
              <wp:simplePos x="0" y="0"/>
              <wp:positionH relativeFrom="margin">
                <wp:align>right</wp:align>
              </wp:positionH>
              <wp:positionV relativeFrom="paragraph">
                <wp:posOffset>635</wp:posOffset>
              </wp:positionV>
              <wp:extent cx="113030" cy="116840"/>
              <wp:effectExtent l="0" t="0" r="0" b="0"/>
              <wp:wrapNone/>
              <wp:docPr id="4"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2026-10-17</w:t>
    </w:r>
    <w:r>
      <w:rPr/>
      <w:fldChar w:fldCharType="end"/>
    </w:r>
    <w:r>
      <mc:AlternateContent>
        <mc:Choice Requires="wps">
          <w:drawing>
            <wp:anchor distT="0" distB="0" distL="0" distR="0" simplePos="0" relativeHeight="15" behindDoc="0" locked="0" layoutInCell="0" allowOverlap="1">
              <wp:simplePos x="0" y="0"/>
              <wp:positionH relativeFrom="margin">
                <wp:align>right</wp:align>
              </wp:positionH>
              <wp:positionV relativeFrom="paragraph">
                <wp:posOffset>635</wp:posOffset>
              </wp:positionV>
              <wp:extent cx="113030" cy="116840"/>
              <wp:effectExtent l="0" t="0" r="0" b="0"/>
              <wp:wrapNone/>
              <wp:docPr id="5"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Tucker-Lewis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(Asparouhov &amp; Muthén, 2018; Hu &amp; Bentler, 1999).</w:t>
      </w:r>
    </w:p>
  </w:footnote>
</w:footnotes>
</file>

<file path=word/settings.xml><?xml version="1.0" encoding="utf-8"?>
<w:settings xmlns:w="http://schemas.openxmlformats.org/wordprocessingml/2006/main">
  <w:zoom w:percent="96"/>
  <w:embedSystemFonts/>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2026-10-17T13:13:09Z</dcterms:created>
  <dc:creator/>
  <dc:description/>
  <dc:language>en-US</dc:language>
  <cp:lastModifiedBy/>
  <dcterms:modified xsi:type="dcterms:W3CDTF">2026-10-17T13:13:09Z</dcterms:modified>
  <cp:revision>0</cp:revision>
  <dc:subject/>
  <dc:title>Adaptation of the Manly-Jones algorithm to the HRS core survey data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2026-10-17</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