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3: Comparisons with other study classifications</w:t>
      </w:r>
    </w:p>
    <w:p>
      <w:pPr>
        <w:pStyle w:val="Date"/>
        <w:keepNext w:val="true"/>
        <w:keepLines/>
        <w:widowControl/>
        <w:bidi w:val="0"/>
        <w:spacing w:before="0" w:after="220"/>
        <w:jc w:val="center"/>
        <w:rPr/>
      </w:pPr>
      <w:r>
        <w:rPr/>
        <w:t>2026-09-30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2026-09-30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2026-09-30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2026-09-30T12:21:20Z</dcterms:created>
  <dc:creator/>
  <dc:description/>
  <dc:language>en-US</dc:language>
  <cp:lastModifiedBy/>
  <dcterms:modified xsi:type="dcterms:W3CDTF">2026-09-30T12:21:20Z</dcterms:modified>
  <cp:revision>0</cp:revision>
  <dc:subject/>
  <dc:title>Appendix 3: Comparisons with other study classifications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2026-09-30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