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Deborah A. Levine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2026-09-22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classification; HCAP complete-assessment comparison subset;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Core analytic sample (age 65+): N = 9,218</w:t>
      </w:r>
    </w:p>
    <w:p>
      <w:pPr>
        <w:pStyle w:val="Compact"/>
        <w:numPr>
          <w:ilvl w:val="1"/>
          <w:numId w:val="1"/>
        </w:numPr>
        <w:rPr/>
      </w:pPr>
      <w:r>
        <w:rPr/>
        <w:t>HCAP complete-assessment subset: N = 2,922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0.352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0.437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  <w:r>
        <w:rPr/>
        <w:t xml:space="preserve"> - </w:t>
      </w:r>
      <w:r>
        <w:rPr>
          <w:b/>
          <w:bCs/>
        </w:rPr>
        <w:t>HRS/HCAP Algorithm</w:t>
      </w:r>
      <w:r>
        <w:rPr/>
        <w:t xml:space="preserve">: c.f. Manly, Jones et al. (2022) - </w:t>
      </w:r>
      <w:r>
        <w:rPr>
          <w:b/>
          <w:bCs/>
        </w:rPr>
        <w:t>Core algorithm</w:t>
      </w:r>
      <w:r>
        <w:rPr/>
        <w:t xml:space="preserve">: HCAP algorithm adapted to the HRS Core data - </w:t>
      </w:r>
      <w:r>
        <w:rPr>
          <w:b/>
          <w:bCs/>
        </w:rPr>
        <w:t>PMM</w:t>
      </w:r>
      <w:r>
        <w:rPr/>
        <w:t>: Profile mixture model applied to data collected in the HRS Core with prediction calibrated using the HRS/HCAP sample and applied to the core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</w:p>
    <w:p>
      <w:pPr>
        <w:pStyle w:val="Compact"/>
        <w:numPr>
          <w:ilvl w:val="1"/>
          <w:numId w:val="1"/>
        </w:numPr>
        <w:rPr/>
      </w:pPr>
      <w:r>
        <w:rPr/>
        <w:t>[Provenance: user instruction]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2016 HRS Core analytic sample: 9,218</w:t>
      </w:r>
    </w:p>
    <w:p>
      <w:pPr>
        <w:pStyle w:val="Compact"/>
        <w:numPr>
          <w:ilvl w:val="1"/>
          <w:numId w:val="1"/>
        </w:numPr>
        <w:rPr/>
      </w:pPr>
      <w:r>
        <w:rPr/>
        <w:t>Age 65+ Core respondents with positive 2016 person weight; all HCAP respondents retained; at least 1 observed cognitive indicator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R_objects/A7_005_hrs16_merged.rds]</w:t>
      </w:r>
    </w:p>
    <w:p>
      <w:pPr>
        <w:pStyle w:val="Compact"/>
        <w:numPr>
          <w:ilvl w:val="0"/>
          <w:numId w:val="1"/>
        </w:numPr>
        <w:rPr/>
      </w:pPr>
      <w:r>
        <w:rPr/>
        <w:t>HCAP complete-assessment subset: 2,922</w:t>
      </w:r>
    </w:p>
    <w:p>
      <w:pPr>
        <w:pStyle w:val="Compact"/>
        <w:numPr>
          <w:ilvl w:val="1"/>
          <w:numId w:val="1"/>
        </w:numPr>
        <w:rPr/>
      </w:pPr>
      <w:r>
        <w:rPr/>
        <w:t>Complete HCAP cognitive domains; intersection with Core analytic sample</w:t>
      </w:r>
    </w:p>
    <w:p>
      <w:pPr>
        <w:pStyle w:val="Compact"/>
        <w:numPr>
          <w:ilvl w:val="1"/>
          <w:numId w:val="1"/>
        </w:numPr>
        <w:rPr/>
      </w:pPr>
      <w:r>
        <w:rPr>
          <w:i/>
          <w:iCs/>
        </w:rPr>
        <w:t>Note</w:t>
      </w:r>
      <w:r>
        <w:rPr/>
        <w:t>: Currently this outlined paper uses only HRS/HCAP participants, but HRS/HCAP data and HRS Core data.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R_objects/030_hcap.rds]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Fixed calibration parameters; Core application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Core and HCAP complete-assessment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0.352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0.437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user instruction; 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Compact"/>
        <w:numPr>
          <w:ilvl w:val="0"/>
          <w:numId w:val="1"/>
        </w:numPr>
        <w:rPr/>
      </w:pPr>
      <w:r>
        <w:rPr/>
        <w:t>Next analyses</w:t>
      </w:r>
    </w:p>
    <w:p>
      <w:pPr>
        <w:pStyle w:val="Compact"/>
        <w:numPr>
          <w:ilvl w:val="1"/>
          <w:numId w:val="1"/>
        </w:numPr>
        <w:rPr/>
      </w:pPr>
      <w:r>
        <w:rPr/>
        <w:t>Re-estimation after method changes; uncertainty intervals for agreement; Core prevalence estimates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user instruction; inference]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2026-09-23T00:41:45Z</dcterms:created>
  <dc:creator>Richard N. Jones; Jennifer J. Manly; Douglas Tommet; Lindsay Kobayashi; Lindsay H. Ryan; Deborah A. Levine; Ryan J. McCammon; Steven G. Heeringa; David Weir; Kenneth M. Langa</dc:creator>
  <dc:description/>
  <dc:language>en-US</dc:language>
  <cp:lastModifiedBy/>
  <dcterms:modified xsi:type="dcterms:W3CDTF">2026-09-23T00:41:45Z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2026-09-22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