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Two HRS Core cognitive classification methods informed by HRS/HCAP: Figures, tables, and appendices</w:t>
      </w:r>
    </w:p>
    <w:p>
      <w:pPr>
        <w:pStyle w:val="Author"/>
        <w:rPr/>
      </w:pPr>
      <w:r>
        <w:rPr/>
        <w:t>Richard N. Jones</w:t>
      </w:r>
    </w:p>
    <w:p>
      <w:pPr>
        <w:pStyle w:val="Author"/>
        <w:rPr/>
      </w:pPr>
      <w:r>
        <w:rPr/>
        <w:t>Jennifer J. Manly</w:t>
      </w:r>
    </w:p>
    <w:p>
      <w:pPr>
        <w:pStyle w:val="Author"/>
        <w:rPr/>
      </w:pPr>
      <w:r>
        <w:rPr/>
        <w:t>Douglas Tommet</w:t>
      </w:r>
    </w:p>
    <w:p>
      <w:pPr>
        <w:pStyle w:val="Author"/>
        <w:rPr/>
      </w:pPr>
      <w:r>
        <w:rPr/>
        <w:t>Lindsay Kobayashi</w:t>
      </w:r>
    </w:p>
    <w:p>
      <w:pPr>
        <w:pStyle w:val="Author"/>
        <w:rPr/>
      </w:pPr>
      <w:r>
        <w:rPr/>
        <w:t>Lindsay H. Ryan</w:t>
      </w:r>
    </w:p>
    <w:p>
      <w:pPr>
        <w:pStyle w:val="Author"/>
        <w:rPr/>
      </w:pPr>
      <w:r>
        <w:rPr/>
        <w:t>Deborah A. Levine</w:t>
      </w:r>
    </w:p>
    <w:p>
      <w:pPr>
        <w:pStyle w:val="Author"/>
        <w:rPr/>
      </w:pPr>
      <w:r>
        <w:rPr/>
        <w:t>Ryan J. McCammon</w:t>
      </w:r>
    </w:p>
    <w:p>
      <w:pPr>
        <w:pStyle w:val="Author"/>
        <w:rPr/>
      </w:pPr>
      <w:r>
        <w:rPr/>
        <w:t>Steven G. Heeringa</w:t>
      </w:r>
    </w:p>
    <w:p>
      <w:pPr>
        <w:pStyle w:val="Author"/>
        <w:rPr/>
      </w:pPr>
      <w:r>
        <w:rPr/>
        <w:t>David Weir</w:t>
      </w:r>
    </w:p>
    <w:p>
      <w:pPr>
        <w:pStyle w:val="Author"/>
        <w:rPr/>
      </w:pPr>
      <w:r>
        <w:rPr/>
        <w:t>Kenneth M. Langa</w:t>
      </w:r>
    </w:p>
    <w:p>
      <w:pPr>
        <w:pStyle w:val="Date"/>
        <w:rPr/>
      </w:pPr>
      <w:r>
        <w:rPr/>
        <w:t>2025-07-22</w:t>
      </w:r>
    </w:p>
    <w:p>
      <w:pPr>
        <w:pStyle w:val="Normal"/>
        <w:rPr/>
      </w:pPr>
      <w:r>
        <w:rPr/>
      </w:r>
      <w:r>
        <w:br w:type="page"/>
      </w:r>
    </w:p>
    <w:tbl>
      <w:tblPr>
        <w:tblStyle w:val="Table"/>
        <w:tblW w:w="5000" w:type="pct"/>
        <w:jc w:val="left"/>
        <w:tblInd w:w="108" w:type="dxa"/>
        <w:tblLayout w:type="fixed"/>
        <w:tblCellMar>
          <w:top w:w="0" w:type="dxa"/>
          <w:left w:w="108" w:type="dxa"/>
          <w:bottom w:w="0" w:type="dxa"/>
          <w:right w:w="108" w:type="dxa"/>
        </w:tblCellMar>
        <w:tblLook w:noHBand="0" w:lastColumn="0" w:firstColumn="0" w:lastRow="0" w:firstRow="0" w:noVBand="0" w:val="0000"/>
      </w:tblPr>
      <w:tblGrid>
        <w:gridCol w:w="9360"/>
      </w:tblGrid>
      <w:tr>
        <w:trPr/>
        <w:tc>
          <w:tcPr>
            <w:tcW w:w="9360" w:type="dxa"/>
            <w:tcBorders/>
          </w:tcPr>
          <w:p>
            <w:pPr>
              <w:pStyle w:val="Compact"/>
              <w:pageBreakBefore/>
              <w:widowControl/>
              <w:spacing w:before="0" w:after="36"/>
              <w:jc w:val="center"/>
              <w:rPr>
                <w:rFonts w:eastAsia="Cambria" w:cs=""/>
                <w:kern w:val="0"/>
                <w:szCs w:val="24"/>
                <w:lang w:val="en-US" w:eastAsia="en-US" w:bidi="ar-SA"/>
              </w:rPr>
            </w:pPr>
            <w:bookmarkStart w:id="0" w:name="fig-sample-flow"/>
            <w:r>
              <w:rPr>
                <w:rFonts w:eastAsia="Cambria" w:cs=""/>
                <w:kern w:val="0"/>
                <w:szCs w:val="24"/>
                <w:lang w:val="en-US" w:eastAsia="en-US" w:bidi="ar-SA"/>
              </w:rPr>
              <w:drawing>
                <wp:inline distT="0" distB="0" distL="0" distR="0">
                  <wp:extent cx="5930900" cy="474472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930900" cy="4744720"/>
                          </a:xfrm>
                          <a:prstGeom prst="rect">
                            <a:avLst/>
                          </a:prstGeom>
                          <a:noFill/>
                        </pic:spPr>
                      </pic:pic>
                    </a:graphicData>
                  </a:graphic>
                </wp:inline>
              </w:drawing>
            </w:r>
          </w:p>
          <w:p>
            <w:pPr>
              <w:pStyle w:val="ImageCaption"/>
              <w:widowControl/>
              <w:spacing w:before="200" w:after="220"/>
              <w:jc w:val="left"/>
              <w:rPr>
                <w:rFonts w:eastAsia="Cambria" w:cs=""/>
                <w:kern w:val="0"/>
                <w:szCs w:val="24"/>
                <w:lang w:val="en-US" w:eastAsia="en-US" w:bidi="ar-SA"/>
              </w:rPr>
            </w:pPr>
            <w:r>
              <w:rPr>
                <w:rFonts w:eastAsia="Cambria" w:cs=""/>
                <w:kern w:val="0"/>
                <w:szCs w:val="24"/>
                <w:lang w:val="en-US" w:eastAsia="en-US" w:bidi="ar-SA"/>
              </w:rPr>
              <w:t>Figure 1: Analysis 2 sample flow</w:t>
            </w:r>
            <w:bookmarkEnd w:id="0"/>
          </w:p>
        </w:tc>
      </w:tr>
    </w:tbl>
    <w:p>
      <w:pPr>
        <w:pStyle w:val="FootnoteText"/>
        <w:rPr/>
      </w:pPr>
      <w:r>
        <w:rPr/>
        <w:t xml:space="preserve">Source: </w:t>
      </w:r>
      <w:r>
        <w:rPr>
          <w:rStyle w:val="VerbatimChar"/>
        </w:rPr>
        <w:t>R/MS_MAIN/MS_001_analysis_cohort.R</w:t>
      </w:r>
      <w:r>
        <w:rPr/>
        <w:t xml:space="preserve">; </w:t>
      </w:r>
      <w:r>
        <w:rPr>
          <w:rStyle w:val="VerbatimChar"/>
        </w:rPr>
        <w:t>R_objects/A7_005_hrs16_merged.rds</w:t>
      </w:r>
      <w:r>
        <w:rPr/>
        <w:t xml:space="preserve">; and </w:t>
      </w:r>
      <w:r>
        <w:rPr>
          <w:rStyle w:val="VerbatimChar"/>
        </w:rPr>
        <w:t>R_objects/030_hcap.rds</w:t>
      </w:r>
      <w:r>
        <w:rPr/>
        <w:t>. The bars use the current Analysis 2 eligibility rule and complete-assessment HCAP identifier set.</w:t>
      </w:r>
    </w:p>
    <w:tbl>
      <w:tblPr>
        <w:tblW w:w="10867" w:type="dxa"/>
        <w:jc w:val="center"/>
        <w:tblInd w:w="0" w:type="dxa"/>
        <w:tblLayout w:type="fixed"/>
        <w:tblCellMar>
          <w:top w:w="0" w:type="dxa"/>
          <w:left w:w="60" w:type="dxa"/>
          <w:bottom w:w="0" w:type="dxa"/>
          <w:right w:w="60" w:type="dxa"/>
        </w:tblCellMar>
        <w:tblLook w:noHBand="0" w:lastColumn="0" w:firstColumn="0" w:lastRow="0" w:firstRow="1" w:noVBand="1" w:val="0420"/>
      </w:tblPr>
      <w:tblGrid>
        <w:gridCol w:w="3515"/>
        <w:gridCol w:w="107"/>
        <w:gridCol w:w="2897"/>
        <w:gridCol w:w="725"/>
        <w:gridCol w:w="3623"/>
      </w:tblGrid>
      <w:tr>
        <w:trPr>
          <w:tblHeader w:val="true"/>
          <w:cantSplit/>
        </w:trPr>
        <w:tc>
          <w:tcPr>
            <w:tcW w:w="3622" w:type="dxa"/>
            <w:gridSpan w:val="2"/>
            <w:tcBorders>
              <w:top w:val="single" w:sz="16" w:space="0" w:color="D3D3D3"/>
              <w:left w:val="single" w:sz="6" w:space="0" w:color="D3D3D3"/>
              <w:bottom w:val="single" w:sz="16" w:space="0" w:color="D3D3D3"/>
            </w:tcBorders>
          </w:tcPr>
          <w:p>
            <w:pPr>
              <w:pStyle w:val="Normal"/>
              <w:keepNext w:val="true"/>
              <w:spacing w:before="0" w:after="60"/>
              <w:jc w:val="left"/>
              <w:rPr/>
            </w:pPr>
            <w:r>
              <w:rPr>
                <w:rFonts w:ascii="Calibri" w:hAnsi="Calibri"/>
                <w:b/>
                <w:sz w:val="20"/>
              </w:rPr>
              <w:t>Characteristic</w:t>
            </w:r>
          </w:p>
        </w:tc>
        <w:tc>
          <w:tcPr>
            <w:tcW w:w="3622" w:type="dxa"/>
            <w:gridSpan w:val="2"/>
            <w:tcBorders>
              <w:top w:val="single" w:sz="16" w:space="0" w:color="D3D3D3"/>
              <w:bottom w:val="single" w:sz="16" w:space="0" w:color="D3D3D3"/>
            </w:tcBorders>
          </w:tcPr>
          <w:p>
            <w:pPr>
              <w:pStyle w:val="Normal"/>
              <w:keepNext w:val="true"/>
              <w:spacing w:before="0" w:after="60"/>
              <w:jc w:val="center"/>
              <w:rPr/>
            </w:pPr>
            <w:r>
              <w:rPr>
                <w:rFonts w:ascii="Calibri" w:hAnsi="Calibri"/>
                <w:b/>
                <w:sz w:val="20"/>
              </w:rPr>
              <w:t>HRS 2016 Wave</w:t>
            </w:r>
            <w:r>
              <w:rPr>
                <w:rFonts w:ascii="Calibri" w:hAnsi="Calibri"/>
                <w:sz w:val="20"/>
              </w:rPr>
              <w:t xml:space="preserve"> N = 9,218</w:t>
            </w:r>
            <w:r>
              <w:rPr>
                <w:rFonts w:ascii="Calibri" w:hAnsi="Calibri"/>
                <w:i/>
                <w:sz w:val="20"/>
                <w:vertAlign w:val="superscript"/>
              </w:rPr>
              <w:t>1</w:t>
            </w:r>
          </w:p>
        </w:tc>
        <w:tc>
          <w:tcPr>
            <w:tcW w:w="3623" w:type="dxa"/>
            <w:tcBorders>
              <w:top w:val="single" w:sz="16" w:space="0" w:color="D3D3D3"/>
              <w:bottom w:val="single" w:sz="16" w:space="0" w:color="D3D3D3"/>
              <w:right w:val="single" w:sz="6" w:space="0" w:color="D3D3D3"/>
            </w:tcBorders>
          </w:tcPr>
          <w:p>
            <w:pPr>
              <w:pStyle w:val="Normal"/>
              <w:keepNext w:val="true"/>
              <w:spacing w:before="0" w:after="60"/>
              <w:jc w:val="center"/>
              <w:rPr/>
            </w:pPr>
            <w:r>
              <w:rPr>
                <w:rFonts w:ascii="Calibri" w:hAnsi="Calibri"/>
                <w:b/>
                <w:sz w:val="20"/>
              </w:rPr>
              <w:t>HCAP complete-assessment subsample</w:t>
            </w:r>
            <w:r>
              <w:rPr>
                <w:rFonts w:ascii="Calibri" w:hAnsi="Calibri"/>
                <w:sz w:val="20"/>
              </w:rPr>
              <w:t xml:space="preserve"> N = 2,922</w:t>
            </w:r>
            <w:r>
              <w:rPr>
                <w:rFonts w:ascii="Calibri" w:hAnsi="Calibri"/>
                <w:i/>
                <w:sz w:val="20"/>
                <w:vertAlign w:val="superscript"/>
              </w:rPr>
              <w:t>1</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Sex</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Female</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5,500 (60%)</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1,750 (60%)</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Male</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3,718 (40%)</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1,172 (40%)</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Age (in years)</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75.4 (7.4)</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75.6 (7.4)</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Race</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White</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7,167 (78%)</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2,339 (80%)</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Black</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1,519 (16%)</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442 (15%)</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All other groups</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524 (5.7%)</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140 (4.8%)</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Not collected</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8 (&lt;0.1%)</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 (&lt;0.1%)</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Hispanic origin</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Not Hispanic</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 (&lt;0.1%)</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 (&lt;0.1%)</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Hispanic</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1,023 (11%)</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307 (11%)</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Not obtained</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8,190 (89%)</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2,614 (89%)</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Years of education</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12.7 (3.2)</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12.8 (3.1)</w:t>
            </w:r>
          </w:p>
        </w:tc>
      </w:tr>
      <w:tr>
        <w:trPr>
          <w:cantSplit/>
        </w:trPr>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Blank, partial interview</w:t>
            </w:r>
          </w:p>
        </w:tc>
        <w:tc>
          <w:tcPr>
            <w:tcW w:w="3622" w:type="dxa"/>
            <w:gridSpan w:val="2"/>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24</w:t>
            </w:r>
          </w:p>
        </w:tc>
        <w:tc>
          <w:tcPr>
            <w:tcW w:w="3623"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4</w:t>
            </w:r>
          </w:p>
        </w:tc>
      </w:tr>
      <w:tr>
        <w:trPr>
          <w:cantSplit/>
        </w:trPr>
        <w:tc>
          <w:tcPr>
            <w:tcW w:w="10867" w:type="dxa"/>
            <w:gridSpan w:val="5"/>
            <w:tcBorders/>
          </w:tcPr>
          <w:p>
            <w:pPr>
              <w:pStyle w:val="Normal"/>
              <w:keepNext w:val="true"/>
              <w:spacing w:before="0" w:after="60"/>
              <w:rPr/>
            </w:pPr>
            <w:r>
              <w:rPr>
                <w:rFonts w:ascii="Calibri" w:hAnsi="Calibri"/>
                <w:i/>
                <w:sz w:val="20"/>
                <w:vertAlign w:val="superscript"/>
              </w:rPr>
              <w:t>1</w:t>
            </w:r>
            <w:r>
              <w:rPr>
                <w:rFonts w:ascii="Calibri" w:hAnsi="Calibri"/>
                <w:sz w:val="20"/>
              </w:rPr>
              <w:t>n (%); Mean (SD)</w:t>
            </w:r>
          </w:p>
        </w:tc>
      </w:tr>
      <w:tr>
        <w:trPr>
          <w:trHeight w:val="619" w:hRule="atLeast"/>
        </w:trPr>
        <w:tc>
          <w:tcPr>
            <w:tcW w:w="10867" w:type="dxa"/>
            <w:gridSpan w:val="5"/>
            <w:tcBorders>
              <w:top w:val="single" w:sz="12" w:space="0" w:color="666666"/>
              <w:bottom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Table 1. Participant Characteristics</w:t>
            </w:r>
          </w:p>
        </w:tc>
      </w:tr>
      <w:tr>
        <w:trPr>
          <w:trHeight w:val="825" w:hRule="atLeast"/>
        </w:trPr>
        <w:tc>
          <w:tcPr>
            <w:tcW w:w="3515" w:type="dxa"/>
            <w:tcBorders>
              <w:top w:val="single" w:sz="12" w:space="0" w:color="666666"/>
              <w:bottom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Characteristic</w:t>
            </w:r>
          </w:p>
        </w:tc>
        <w:tc>
          <w:tcPr>
            <w:tcW w:w="3004" w:type="dxa"/>
            <w:gridSpan w:val="2"/>
            <w:tcBorders>
              <w:top w:val="single" w:sz="12" w:space="0" w:color="666666"/>
              <w:bottom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HRS 2016 analytic sample</w:t>
              <w:br/>
              <w:t>(N = 9,218)</w:t>
            </w:r>
          </w:p>
        </w:tc>
        <w:tc>
          <w:tcPr>
            <w:tcW w:w="4348" w:type="dxa"/>
            <w:gridSpan w:val="2"/>
            <w:tcBorders>
              <w:top w:val="single" w:sz="12" w:space="0" w:color="666666"/>
              <w:bottom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HCAP complete-assessment subsample</w:t>
              <w:br/>
              <w:t>(N = 2,922)</w:t>
            </w:r>
          </w:p>
        </w:tc>
      </w:tr>
      <w:tr>
        <w:trPr>
          <w:trHeight w:val="618" w:hRule="atLeast"/>
        </w:trPr>
        <w:tc>
          <w:tcPr>
            <w:tcW w:w="3515" w:type="dxa"/>
            <w:tcBorders>
              <w:top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Sex (N (%))</w:t>
            </w:r>
          </w:p>
        </w:tc>
        <w:tc>
          <w:tcPr>
            <w:tcW w:w="3004" w:type="dxa"/>
            <w:gridSpan w:val="2"/>
            <w:tcBorders>
              <w:top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r>
          </w:p>
        </w:tc>
        <w:tc>
          <w:tcPr>
            <w:tcW w:w="4348" w:type="dxa"/>
            <w:gridSpan w:val="2"/>
            <w:tcBorders>
              <w:top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Female</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5,500 (59.7%)</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1,750 (59.9%)</w:t>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Male</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3,718 (40.3%)</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1,172 (40.1%)</w:t>
            </w:r>
          </w:p>
        </w:tc>
      </w:tr>
      <w:tr>
        <w:trPr>
          <w:trHeight w:val="621"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Age in years (Mean (SD))</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75.4 (7.4)</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75.6 (7.4)</w:t>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Race (N (%))</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White</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7,167 (77.8%)</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2,339 (80.0%)</w:t>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Black</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1,519 (16.5%)</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442 (15.1%)</w:t>
            </w:r>
          </w:p>
        </w:tc>
      </w:tr>
      <w:tr>
        <w:trPr>
          <w:trHeight w:val="618"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All other groups</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524 (5.7%)</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140 (4.8%)</w:t>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Not collected</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8 (0.1%)</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1 (0.0%)</w:t>
            </w:r>
          </w:p>
        </w:tc>
      </w:tr>
      <w:tr>
        <w:trPr>
          <w:trHeight w:val="620"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Hispanic origin (N (%))</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Not Hispanic</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8,190 (88.8%)</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2,614 (89.5%)</w:t>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Hispanic</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1,023 (11.1%)</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307 (10.5%)</w:t>
            </w:r>
          </w:p>
        </w:tc>
      </w:tr>
      <w:tr>
        <w:trPr>
          <w:trHeight w:val="616" w:hRule="atLeast"/>
        </w:trPr>
        <w:tc>
          <w:tcPr>
            <w:tcW w:w="3515" w:type="dxa"/>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Not obtained</w:t>
            </w:r>
          </w:p>
        </w:tc>
        <w:tc>
          <w:tcPr>
            <w:tcW w:w="3004"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5 (0.1%)</w:t>
            </w:r>
          </w:p>
        </w:tc>
        <w:tc>
          <w:tcPr>
            <w:tcW w:w="4348" w:type="dxa"/>
            <w:gridSpan w:val="2"/>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 xml:space="preserve">    </w:t>
            </w:r>
            <w:r>
              <w:rPr>
                <w:rFonts w:eastAsia="Cambria" w:cs="Cambria" w:ascii="Cambria" w:hAnsi="Cambria"/>
                <w:b w:val="false"/>
                <w:i w:val="false"/>
                <w:strike w:val="false"/>
                <w:dstrike w:val="false"/>
                <w:color w:val="000000"/>
                <w:sz w:val="20"/>
                <w:szCs w:val="20"/>
                <w:u w:val="none"/>
              </w:rPr>
              <w:t>1 (0.0%)</w:t>
            </w:r>
          </w:p>
        </w:tc>
      </w:tr>
      <w:tr>
        <w:trPr>
          <w:trHeight w:val="618" w:hRule="atLeast"/>
        </w:trPr>
        <w:tc>
          <w:tcPr>
            <w:tcW w:w="3515" w:type="dxa"/>
            <w:tcBorders>
              <w:bottom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Years of education (Mean (SD))</w:t>
            </w:r>
          </w:p>
        </w:tc>
        <w:tc>
          <w:tcPr>
            <w:tcW w:w="3004" w:type="dxa"/>
            <w:gridSpan w:val="2"/>
            <w:tcBorders>
              <w:bottom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12.7 (3.2)</w:t>
            </w:r>
          </w:p>
        </w:tc>
        <w:tc>
          <w:tcPr>
            <w:tcW w:w="4348" w:type="dxa"/>
            <w:gridSpan w:val="2"/>
            <w:tcBorders>
              <w:bottom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12.8 (3.1)</w:t>
            </w:r>
          </w:p>
        </w:tc>
      </w:tr>
      <w:tr>
        <w:trPr>
          <w:trHeight w:val="360" w:hRule="atLeast"/>
        </w:trPr>
        <w:tc>
          <w:tcPr>
            <w:tcW w:w="10867" w:type="dxa"/>
            <w:gridSpan w:val="5"/>
            <w:tcBorders>
              <w:top w:val="single" w:sz="12" w:space="0" w:color="666666"/>
            </w:tcBorders>
            <w:shd w:color="auto" w:fill="FFFFFF" w:val="clear"/>
            <w:tcMar>
              <w:left w:w="0" w:type="dxa"/>
              <w:right w:w="0" w:type="dxa"/>
            </w:tcM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20"/>
                <w:szCs w:val="20"/>
                <w:u w:val="none"/>
              </w:rPr>
            </w:pPr>
            <w:r>
              <w:rPr>
                <w:rFonts w:eastAsia="Cambria" w:cs="Cambria" w:ascii="Cambria" w:hAnsi="Cambria"/>
                <w:b w:val="false"/>
                <w:i w:val="false"/>
                <w:strike w:val="false"/>
                <w:dstrike w:val="false"/>
                <w:color w:val="000000"/>
                <w:sz w:val="20"/>
                <w:szCs w:val="20"/>
                <w:u w:val="none"/>
              </w:rPr>
              <w:t>Source: R/MS_MAIN/MS_001_analysis_cohort.R; R_objects/A7_005_hrs16_merged.rds; R_objects/030_hcap.rds.</w:t>
            </w:r>
          </w:p>
        </w:tc>
      </w:tr>
    </w:tbl>
    <w:p>
      <w:pPr>
        <w:pStyle w:val="FootnoteText"/>
        <w:rPr/>
      </w:pPr>
      <w:r>
        <w:rPr/>
        <w:t>Notes: The HRS 2016 analytic sample includes 9,218 participants with at least one observed cognitive indicator. It includes Core respondents age 65 and older with a non-missing, positive 2016 sampling weight, plus all HCAP participants so the HCAP comparison sample is retained. The HCAP comparator sample includes 2,922 participants who completed the neuropsychological assessment sufficiently that none of their five derived cognitive domain scores used in the dementia and MCI classification algorithm had to be imputed. Race and ethnicity data were gathered via self-report at the time of first interview and are considered to be markers of exposure to evolving systems of racism, not as a proxy for genetic variation or any other biological variable. Race was self-selected by participants at the time of the first interview from a list of options defined by the 2000 US Census criteria. Other race includes a pooled group of participants who identified as American Indian or Alaska Native, Asian, Native Hawaiian or Pacific Islander, or another self-described race, consolidated due to small sample sizes and risk of identification.</w:t>
      </w:r>
    </w:p>
    <w:p>
      <w:pPr>
        <w:pStyle w:val="Normal"/>
        <w:rPr/>
      </w:pPr>
      <w:r>
        <w:rPr/>
      </w:r>
      <w:r>
        <w:br w:type="page"/>
      </w:r>
    </w:p>
    <w:tbl>
      <w:tblPr>
        <w:tblW w:w="11793"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897"/>
        <w:gridCol w:w="1219"/>
        <w:gridCol w:w="1081"/>
        <w:gridCol w:w="1080"/>
        <w:gridCol w:w="2349"/>
        <w:gridCol w:w="1962"/>
        <w:gridCol w:w="2205"/>
      </w:tblGrid>
      <w:tr>
        <w:trPr>
          <w:tblHeader w:val="true"/>
          <w:trHeight w:val="558" w:hRule="atLeast"/>
        </w:trPr>
        <w:tc>
          <w:tcPr>
            <w:tcW w:w="11793" w:type="dxa"/>
            <w:gridSpan w:val="7"/>
            <w:tcBorders>
              <w:top w:val="single" w:sz="12" w:space="0" w:color="666666"/>
              <w:bottom w:val="single" w:sz="12" w:space="0" w:color="666666"/>
            </w:tcBorders>
            <w:shd w:color="auto" w:fill="FFFFFF" w:val="clear"/>
            <w:vAlign w:val="center"/>
          </w:tcPr>
          <w:p>
            <w:pPr>
              <w:pStyle w:val="Normal"/>
              <w:pageBreakBefore/>
              <w:pBdr/>
              <w:spacing w:lineRule="auto" w:line="240" w:before="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Table 2. HCAP classification margins by method</w:t>
            </w:r>
          </w:p>
        </w:tc>
      </w:tr>
      <w:tr>
        <w:trPr>
          <w:tblHeader w:val="true"/>
          <w:trHeight w:val="557" w:hRule="atLeast"/>
        </w:trPr>
        <w:tc>
          <w:tcPr>
            <w:tcW w:w="189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method</w:t>
            </w:r>
          </w:p>
        </w:tc>
        <w:tc>
          <w:tcPr>
            <w:tcW w:w="1219"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Dementia_n</w:t>
            </w:r>
          </w:p>
        </w:tc>
        <w:tc>
          <w:tcPr>
            <w:tcW w:w="1081"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MCI_n</w:t>
            </w:r>
          </w:p>
        </w:tc>
        <w:tc>
          <w:tcPr>
            <w:tcW w:w="1080"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Normal_n</w:t>
            </w:r>
          </w:p>
        </w:tc>
        <w:tc>
          <w:tcPr>
            <w:tcW w:w="2349"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Dementia_weighted_percent</w:t>
            </w:r>
          </w:p>
        </w:tc>
        <w:tc>
          <w:tcPr>
            <w:tcW w:w="196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MCI_weighted_percent</w:t>
            </w:r>
          </w:p>
        </w:tc>
        <w:tc>
          <w:tcPr>
            <w:tcW w:w="2205"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Normal_weighted_percent</w:t>
            </w:r>
          </w:p>
        </w:tc>
      </w:tr>
      <w:tr>
        <w:trPr>
          <w:trHeight w:val="557" w:hRule="atLeast"/>
        </w:trPr>
        <w:tc>
          <w:tcPr>
            <w:tcW w:w="1897" w:type="dxa"/>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HRS/HCAP Algorithm</w:t>
            </w:r>
          </w:p>
        </w:tc>
        <w:tc>
          <w:tcPr>
            <w:tcW w:w="1219"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375</w:t>
            </w:r>
          </w:p>
        </w:tc>
        <w:tc>
          <w:tcPr>
            <w:tcW w:w="1081"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808</w:t>
            </w:r>
          </w:p>
        </w:tc>
        <w:tc>
          <w:tcPr>
            <w:tcW w:w="1080"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2,313</w:t>
            </w:r>
          </w:p>
        </w:tc>
        <w:tc>
          <w:tcPr>
            <w:tcW w:w="2349"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9.2</w:t>
            </w:r>
          </w:p>
        </w:tc>
        <w:tc>
          <w:tcPr>
            <w:tcW w:w="1962"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21.4</w:t>
            </w:r>
          </w:p>
        </w:tc>
        <w:tc>
          <w:tcPr>
            <w:tcW w:w="2205"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69.4</w:t>
            </w:r>
          </w:p>
        </w:tc>
      </w:tr>
      <w:tr>
        <w:trPr>
          <w:trHeight w:val="557" w:hRule="atLeast"/>
        </w:trPr>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Core algorithm</w:t>
            </w:r>
          </w:p>
        </w:tc>
        <w:tc>
          <w:tcPr>
            <w:tcW w:w="121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308</w:t>
            </w:r>
          </w:p>
        </w:tc>
        <w:tc>
          <w:tcPr>
            <w:tcW w:w="1081"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735</w:t>
            </w:r>
          </w:p>
        </w:tc>
        <w:tc>
          <w:tcPr>
            <w:tcW w:w="1080"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2,453</w:t>
            </w:r>
          </w:p>
        </w:tc>
        <w:tc>
          <w:tcPr>
            <w:tcW w:w="234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8.0</w:t>
            </w:r>
          </w:p>
        </w:tc>
        <w:tc>
          <w:tcPr>
            <w:tcW w:w="196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20.5</w:t>
            </w:r>
          </w:p>
        </w:tc>
        <w:tc>
          <w:tcPr>
            <w:tcW w:w="2205"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71.4</w:t>
            </w:r>
          </w:p>
        </w:tc>
      </w:tr>
      <w:tr>
        <w:trPr>
          <w:trHeight w:val="552" w:hRule="atLeast"/>
        </w:trPr>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Langa-Weir</w:t>
            </w:r>
          </w:p>
        </w:tc>
        <w:tc>
          <w:tcPr>
            <w:tcW w:w="121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333</w:t>
            </w:r>
          </w:p>
        </w:tc>
        <w:tc>
          <w:tcPr>
            <w:tcW w:w="1081"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731</w:t>
            </w:r>
          </w:p>
        </w:tc>
        <w:tc>
          <w:tcPr>
            <w:tcW w:w="1080"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2,432</w:t>
            </w:r>
          </w:p>
        </w:tc>
        <w:tc>
          <w:tcPr>
            <w:tcW w:w="234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7.9</w:t>
            </w:r>
          </w:p>
        </w:tc>
        <w:tc>
          <w:tcPr>
            <w:tcW w:w="196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17.3</w:t>
            </w:r>
          </w:p>
        </w:tc>
        <w:tc>
          <w:tcPr>
            <w:tcW w:w="2205"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74.9</w:t>
            </w:r>
          </w:p>
        </w:tc>
      </w:tr>
      <w:tr>
        <w:trPr>
          <w:trHeight w:val="540" w:hRule="atLeast"/>
        </w:trPr>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Hudomiet</w:t>
            </w:r>
          </w:p>
        </w:tc>
        <w:tc>
          <w:tcPr>
            <w:tcW w:w="121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286</w:t>
            </w:r>
          </w:p>
        </w:tc>
        <w:tc>
          <w:tcPr>
            <w:tcW w:w="1081"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865</w:t>
            </w:r>
          </w:p>
        </w:tc>
        <w:tc>
          <w:tcPr>
            <w:tcW w:w="1080"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2,326</w:t>
            </w:r>
          </w:p>
        </w:tc>
        <w:tc>
          <w:tcPr>
            <w:tcW w:w="234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7.2</w:t>
            </w:r>
          </w:p>
        </w:tc>
        <w:tc>
          <w:tcPr>
            <w:tcW w:w="196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21.0</w:t>
            </w:r>
          </w:p>
        </w:tc>
        <w:tc>
          <w:tcPr>
            <w:tcW w:w="2205"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71.1</w:t>
            </w:r>
          </w:p>
        </w:tc>
      </w:tr>
      <w:tr>
        <w:trPr>
          <w:trHeight w:val="544" w:hRule="atLeast"/>
        </w:trPr>
        <w:tc>
          <w:tcPr>
            <w:tcW w:w="1897" w:type="dxa"/>
            <w:tcBorders>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PMM</w:t>
            </w:r>
          </w:p>
        </w:tc>
        <w:tc>
          <w:tcPr>
            <w:tcW w:w="1219"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53,073</w:t>
            </w:r>
          </w:p>
        </w:tc>
        <w:tc>
          <w:tcPr>
            <w:tcW w:w="1081"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36,100</w:t>
            </w:r>
          </w:p>
        </w:tc>
        <w:tc>
          <w:tcPr>
            <w:tcW w:w="1080"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260,427</w:t>
            </w:r>
          </w:p>
        </w:tc>
        <w:tc>
          <w:tcPr>
            <w:tcW w:w="2349"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13.4</w:t>
            </w:r>
          </w:p>
        </w:tc>
        <w:tc>
          <w:tcPr>
            <w:tcW w:w="1962"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9.2</w:t>
            </w:r>
          </w:p>
        </w:tc>
        <w:tc>
          <w:tcPr>
            <w:tcW w:w="2205"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77.4</w:t>
            </w:r>
          </w:p>
        </w:tc>
      </w:tr>
      <w:tr>
        <w:trPr>
          <w:trHeight w:val="360" w:hRule="atLeast"/>
        </w:trPr>
        <w:tc>
          <w:tcPr>
            <w:tcW w:w="11793" w:type="dxa"/>
            <w:gridSpan w:val="7"/>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Source: A7 methods: R_objects/A7_100_hcap_tables.rds; PMM method: R/PMM_110_Comparison_of_Consensus_Langa_Weir.R and Mplus saved data. Weighted percentages use HCAP16WGTR; PMM replication weights sum to HCAP16WGTR.</w:t>
            </w:r>
          </w:p>
        </w:tc>
      </w:tr>
    </w:tbl>
    <w:p>
      <w:pPr>
        <w:pStyle w:val="Normal"/>
        <w:rPr/>
      </w:pPr>
      <w:r>
        <w:rPr/>
      </w:r>
      <w:r>
        <w:br w:type="page"/>
      </w:r>
    </w:p>
    <w:tbl>
      <w:tblPr>
        <w:tblW w:w="7637"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437"/>
        <w:gridCol w:w="1897"/>
        <w:gridCol w:w="1643"/>
        <w:gridCol w:w="1333"/>
        <w:gridCol w:w="1327"/>
      </w:tblGrid>
      <w:tr>
        <w:trPr>
          <w:tblHeader w:val="true"/>
          <w:trHeight w:val="558" w:hRule="atLeast"/>
        </w:trPr>
        <w:tc>
          <w:tcPr>
            <w:tcW w:w="7637" w:type="dxa"/>
            <w:gridSpan w:val="5"/>
            <w:tcBorders>
              <w:top w:val="single" w:sz="12" w:space="0" w:color="666666"/>
              <w:bottom w:val="single" w:sz="12" w:space="0" w:color="666666"/>
            </w:tcBorders>
            <w:shd w:color="auto" w:fill="FFFFFF" w:val="clear"/>
            <w:vAlign w:val="center"/>
          </w:tcPr>
          <w:p>
            <w:pPr>
              <w:pStyle w:val="Normal"/>
              <w:pageBreakBefore/>
              <w:pBdr/>
              <w:spacing w:lineRule="auto" w:line="240" w:before="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Table 3. Agreement among Core classifications and comparison diagnoses</w:t>
            </w:r>
          </w:p>
        </w:tc>
      </w:tr>
      <w:tr>
        <w:trPr>
          <w:tblHeader w:val="true"/>
          <w:trHeight w:val="557" w:hRule="atLeast"/>
        </w:trPr>
        <w:tc>
          <w:tcPr>
            <w:tcW w:w="143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method</w:t>
            </w:r>
          </w:p>
        </w:tc>
        <w:tc>
          <w:tcPr>
            <w:tcW w:w="189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comparator</w:t>
            </w:r>
          </w:p>
        </w:tc>
        <w:tc>
          <w:tcPr>
            <w:tcW w:w="1643"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three_class_kappa</w:t>
            </w:r>
          </w:p>
        </w:tc>
        <w:tc>
          <w:tcPr>
            <w:tcW w:w="1333"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binary_kappa</w:t>
            </w:r>
          </w:p>
        </w:tc>
        <w:tc>
          <w:tcPr>
            <w:tcW w:w="132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result_source</w:t>
            </w:r>
          </w:p>
        </w:tc>
      </w:tr>
      <w:tr>
        <w:trPr>
          <w:trHeight w:val="557" w:hRule="atLeast"/>
        </w:trPr>
        <w:tc>
          <w:tcPr>
            <w:tcW w:w="1437" w:type="dxa"/>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Core algorithm</w:t>
            </w:r>
          </w:p>
        </w:tc>
        <w:tc>
          <w:tcPr>
            <w:tcW w:w="1897" w:type="dxa"/>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HRS/HCAP Algorithm</w:t>
            </w:r>
          </w:p>
        </w:tc>
        <w:tc>
          <w:tcPr>
            <w:tcW w:w="1643"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0.505</w:t>
            </w:r>
          </w:p>
        </w:tc>
        <w:tc>
          <w:tcPr>
            <w:tcW w:w="1333"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0.352</w:t>
            </w:r>
          </w:p>
        </w:tc>
        <w:tc>
          <w:tcPr>
            <w:tcW w:w="1327" w:type="dxa"/>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A7</w:t>
            </w:r>
          </w:p>
        </w:tc>
      </w:tr>
      <w:tr>
        <w:trPr>
          <w:trHeight w:val="557" w:hRule="atLeast"/>
        </w:trPr>
        <w:tc>
          <w:tcPr>
            <w:tcW w:w="143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Core algorithm</w:t>
            </w:r>
          </w:p>
        </w:tc>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HCAP consensus</w:t>
            </w:r>
          </w:p>
        </w:tc>
        <w:tc>
          <w:tcPr>
            <w:tcW w:w="164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0.284</w:t>
            </w:r>
          </w:p>
        </w:tc>
        <w:tc>
          <w:tcPr>
            <w:tcW w:w="133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0.675</w:t>
            </w:r>
          </w:p>
        </w:tc>
        <w:tc>
          <w:tcPr>
            <w:tcW w:w="132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A7</w:t>
            </w:r>
          </w:p>
        </w:tc>
      </w:tr>
      <w:tr>
        <w:trPr>
          <w:trHeight w:val="557" w:hRule="atLeast"/>
        </w:trPr>
        <w:tc>
          <w:tcPr>
            <w:tcW w:w="143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Core algorithm</w:t>
            </w:r>
          </w:p>
        </w:tc>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Hudomiet</w:t>
            </w:r>
          </w:p>
        </w:tc>
        <w:tc>
          <w:tcPr>
            <w:tcW w:w="164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0.603</w:t>
            </w:r>
          </w:p>
        </w:tc>
        <w:tc>
          <w:tcPr>
            <w:tcW w:w="133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0.474</w:t>
            </w:r>
          </w:p>
        </w:tc>
        <w:tc>
          <w:tcPr>
            <w:tcW w:w="132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A7</w:t>
            </w:r>
          </w:p>
        </w:tc>
      </w:tr>
      <w:tr>
        <w:trPr>
          <w:trHeight w:val="557" w:hRule="atLeast"/>
        </w:trPr>
        <w:tc>
          <w:tcPr>
            <w:tcW w:w="143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Langa-Weir</w:t>
            </w:r>
          </w:p>
        </w:tc>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HRS/HCAP Algorithm</w:t>
            </w:r>
          </w:p>
        </w:tc>
        <w:tc>
          <w:tcPr>
            <w:tcW w:w="164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0.510</w:t>
            </w:r>
          </w:p>
        </w:tc>
        <w:tc>
          <w:tcPr>
            <w:tcW w:w="133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0.407</w:t>
            </w:r>
          </w:p>
        </w:tc>
        <w:tc>
          <w:tcPr>
            <w:tcW w:w="132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A7</w:t>
            </w:r>
          </w:p>
        </w:tc>
      </w:tr>
      <w:tr>
        <w:trPr>
          <w:trHeight w:val="552" w:hRule="atLeast"/>
        </w:trPr>
        <w:tc>
          <w:tcPr>
            <w:tcW w:w="143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Langa-Weir</w:t>
            </w:r>
          </w:p>
        </w:tc>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HCAP consensus</w:t>
            </w:r>
          </w:p>
        </w:tc>
        <w:tc>
          <w:tcPr>
            <w:tcW w:w="164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0.099</w:t>
            </w:r>
          </w:p>
        </w:tc>
        <w:tc>
          <w:tcPr>
            <w:tcW w:w="133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0.736</w:t>
            </w:r>
          </w:p>
        </w:tc>
        <w:tc>
          <w:tcPr>
            <w:tcW w:w="132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A7</w:t>
            </w:r>
          </w:p>
        </w:tc>
      </w:tr>
      <w:tr>
        <w:trPr>
          <w:trHeight w:val="557" w:hRule="atLeast"/>
        </w:trPr>
        <w:tc>
          <w:tcPr>
            <w:tcW w:w="143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Hudomiet</w:t>
            </w:r>
          </w:p>
        </w:tc>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HRS/HCAP Algorithm</w:t>
            </w:r>
          </w:p>
        </w:tc>
        <w:tc>
          <w:tcPr>
            <w:tcW w:w="164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0.551</w:t>
            </w:r>
          </w:p>
        </w:tc>
        <w:tc>
          <w:tcPr>
            <w:tcW w:w="133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0.457</w:t>
            </w:r>
          </w:p>
        </w:tc>
        <w:tc>
          <w:tcPr>
            <w:tcW w:w="132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A7</w:t>
            </w:r>
          </w:p>
        </w:tc>
      </w:tr>
      <w:tr>
        <w:trPr>
          <w:trHeight w:val="524" w:hRule="atLeast"/>
        </w:trPr>
        <w:tc>
          <w:tcPr>
            <w:tcW w:w="143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Hudomiet</w:t>
            </w:r>
          </w:p>
        </w:tc>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HCAP consensus</w:t>
            </w:r>
          </w:p>
        </w:tc>
        <w:tc>
          <w:tcPr>
            <w:tcW w:w="164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0.396</w:t>
            </w:r>
          </w:p>
        </w:tc>
        <w:tc>
          <w:tcPr>
            <w:tcW w:w="133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0.806</w:t>
            </w:r>
          </w:p>
        </w:tc>
        <w:tc>
          <w:tcPr>
            <w:tcW w:w="132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A7</w:t>
            </w:r>
          </w:p>
        </w:tc>
      </w:tr>
      <w:tr>
        <w:trPr>
          <w:trHeight w:val="557" w:hRule="atLeast"/>
        </w:trPr>
        <w:tc>
          <w:tcPr>
            <w:tcW w:w="143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PMM</w:t>
            </w:r>
          </w:p>
        </w:tc>
        <w:tc>
          <w:tcPr>
            <w:tcW w:w="189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HRS/HCAP Algorithm</w:t>
            </w:r>
          </w:p>
        </w:tc>
        <w:tc>
          <w:tcPr>
            <w:tcW w:w="164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0.509</w:t>
            </w:r>
          </w:p>
        </w:tc>
        <w:tc>
          <w:tcPr>
            <w:tcW w:w="1333"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0.437</w:t>
            </w:r>
          </w:p>
        </w:tc>
        <w:tc>
          <w:tcPr>
            <w:tcW w:w="1327"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PMM</w:t>
            </w:r>
          </w:p>
        </w:tc>
      </w:tr>
      <w:tr>
        <w:trPr>
          <w:trHeight w:val="524" w:hRule="atLeast"/>
        </w:trPr>
        <w:tc>
          <w:tcPr>
            <w:tcW w:w="1437" w:type="dxa"/>
            <w:tcBorders>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PMM</w:t>
            </w:r>
          </w:p>
        </w:tc>
        <w:tc>
          <w:tcPr>
            <w:tcW w:w="1897" w:type="dxa"/>
            <w:tcBorders>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HCAP consensus</w:t>
            </w:r>
          </w:p>
        </w:tc>
        <w:tc>
          <w:tcPr>
            <w:tcW w:w="1643"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0.528</w:t>
            </w:r>
          </w:p>
        </w:tc>
        <w:tc>
          <w:tcPr>
            <w:tcW w:w="1333"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0.384</w:t>
            </w:r>
          </w:p>
        </w:tc>
        <w:tc>
          <w:tcPr>
            <w:tcW w:w="1327" w:type="dxa"/>
            <w:tcBorders>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PMM</w:t>
            </w:r>
          </w:p>
        </w:tc>
      </w:tr>
      <w:tr>
        <w:trPr>
          <w:trHeight w:val="360" w:hRule="atLeast"/>
        </w:trPr>
        <w:tc>
          <w:tcPr>
            <w:tcW w:w="7637"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Source: A7 rows: R_objects/A7_100_hcap_tables.rds, generated by R/A7_100-comparison_of_diagnoses.R. PMM rows: R/PMM_110_Comparison_of_Consensus_Langa_Weir.R. Three-class values are quadratic weighted kappas; binary values are kappas for dementia versus non-dementia. Consensus comparisons use normalized HCAP16WGTR / samplingP weights; other comparisons use HCAP16WGTR.</w:t>
            </w:r>
          </w:p>
        </w:tc>
      </w:tr>
    </w:tbl>
    <w:p>
      <w:pPr>
        <w:pStyle w:val="Normal"/>
        <w:rPr/>
      </w:pPr>
      <w:r>
        <w:rPr/>
      </w:r>
      <w:r>
        <w:br w:type="page"/>
      </w:r>
    </w:p>
    <w:tbl>
      <w:tblPr>
        <w:tblStyle w:val="Table"/>
        <w:tblW w:w="5000" w:type="pct"/>
        <w:jc w:val="left"/>
        <w:tblInd w:w="108" w:type="dxa"/>
        <w:tblLayout w:type="fixed"/>
        <w:tblCellMar>
          <w:top w:w="0" w:type="dxa"/>
          <w:left w:w="108" w:type="dxa"/>
          <w:bottom w:w="0" w:type="dxa"/>
          <w:right w:w="108" w:type="dxa"/>
        </w:tblCellMar>
        <w:tblLook w:noHBand="0" w:lastColumn="0" w:firstColumn="0" w:lastRow="0" w:firstRow="0" w:noVBand="0" w:val="0000"/>
      </w:tblPr>
      <w:tblGrid>
        <w:gridCol w:w="9360"/>
      </w:tblGrid>
      <w:tr>
        <w:trPr/>
        <w:tc>
          <w:tcPr>
            <w:tcW w:w="9360" w:type="dxa"/>
            <w:tcBorders/>
          </w:tcPr>
          <w:p>
            <w:pPr>
              <w:pStyle w:val="Compact"/>
              <w:pageBreakBefore/>
              <w:widowControl/>
              <w:spacing w:before="0" w:after="36"/>
              <w:jc w:val="center"/>
              <w:rPr>
                <w:rFonts w:eastAsia="Cambria" w:cs=""/>
                <w:kern w:val="0"/>
                <w:szCs w:val="24"/>
                <w:lang w:val="en-US" w:eastAsia="en-US" w:bidi="ar-SA"/>
              </w:rPr>
            </w:pPr>
            <w:bookmarkStart w:id="1" w:name="fig-pmm-probabilities"/>
            <w:r>
              <w:rPr>
                <w:rFonts w:eastAsia="Cambria" w:cs=""/>
                <w:kern w:val="0"/>
                <w:szCs w:val="24"/>
                <w:lang w:val="en-US" w:eastAsia="en-US" w:bidi="ar-SA"/>
              </w:rPr>
              <w:drawing>
                <wp:inline distT="0" distB="0" distL="0" distR="0">
                  <wp:extent cx="5930900" cy="47447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30900" cy="4744720"/>
                          </a:xfrm>
                          <a:prstGeom prst="rect">
                            <a:avLst/>
                          </a:prstGeom>
                          <a:noFill/>
                        </pic:spPr>
                      </pic:pic>
                    </a:graphicData>
                  </a:graphic>
                </wp:inline>
              </w:drawing>
            </w:r>
          </w:p>
          <w:p>
            <w:pPr>
              <w:pStyle w:val="ImageCaption"/>
              <w:widowControl/>
              <w:spacing w:before="200" w:after="220"/>
              <w:jc w:val="left"/>
              <w:rPr>
                <w:rFonts w:eastAsia="Cambria" w:cs=""/>
                <w:kern w:val="0"/>
                <w:szCs w:val="24"/>
                <w:lang w:val="en-US" w:eastAsia="en-US" w:bidi="ar-SA"/>
              </w:rPr>
            </w:pPr>
            <w:r>
              <w:rPr>
                <w:rFonts w:eastAsia="Cambria" w:cs=""/>
                <w:kern w:val="0"/>
                <w:szCs w:val="24"/>
                <w:lang w:val="en-US" w:eastAsia="en-US" w:bidi="ar-SA"/>
              </w:rPr>
              <w:t>Figure 2: PMM class probabilities in HRS/HCAP</w:t>
            </w:r>
            <w:bookmarkEnd w:id="1"/>
          </w:p>
        </w:tc>
      </w:tr>
    </w:tbl>
    <w:p>
      <w:pPr>
        <w:pStyle w:val="Normal"/>
        <w:rPr/>
      </w:pPr>
      <w:r>
        <w:rPr/>
      </w:r>
      <w:r>
        <w:br w:type="page"/>
      </w:r>
    </w:p>
    <w:tbl>
      <w:tblPr>
        <w:tblW w:w="10195"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085"/>
        <w:gridCol w:w="1820"/>
        <w:gridCol w:w="1902"/>
        <w:gridCol w:w="1209"/>
        <w:gridCol w:w="2087"/>
        <w:gridCol w:w="1092"/>
      </w:tblGrid>
      <w:tr>
        <w:trPr>
          <w:tblHeader w:val="true"/>
          <w:trHeight w:val="557" w:hRule="atLeast"/>
        </w:trPr>
        <w:tc>
          <w:tcPr>
            <w:tcW w:w="10195" w:type="dxa"/>
            <w:gridSpan w:val="6"/>
            <w:tcBorders>
              <w:top w:val="single" w:sz="12" w:space="0" w:color="666666"/>
              <w:bottom w:val="single" w:sz="12" w:space="0" w:color="666666"/>
            </w:tcBorders>
            <w:shd w:color="auto" w:fill="FFFFFF" w:val="clear"/>
            <w:vAlign w:val="center"/>
          </w:tcPr>
          <w:p>
            <w:pPr>
              <w:pStyle w:val="Normal"/>
              <w:pageBreakBefore/>
              <w:pBdr/>
              <w:spacing w:lineRule="auto" w:line="240" w:before="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Table 4. Pairwise three-class agreement among HCAP comparison methods</w:t>
            </w:r>
          </w:p>
        </w:tc>
      </w:tr>
      <w:tr>
        <w:trPr>
          <w:tblHeader w:val="true"/>
          <w:trHeight w:val="557" w:hRule="atLeast"/>
        </w:trPr>
        <w:tc>
          <w:tcPr>
            <w:tcW w:w="2085"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method</w:t>
            </w:r>
          </w:p>
        </w:tc>
        <w:tc>
          <w:tcPr>
            <w:tcW w:w="1820"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Consensus diagnosis</w:t>
            </w:r>
          </w:p>
        </w:tc>
        <w:tc>
          <w:tcPr>
            <w:tcW w:w="190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Algorithmic diagnosis</w:t>
            </w:r>
          </w:p>
        </w:tc>
        <w:tc>
          <w:tcPr>
            <w:tcW w:w="1209"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Langa-Weir</w:t>
            </w:r>
          </w:p>
        </w:tc>
        <w:tc>
          <w:tcPr>
            <w:tcW w:w="208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HRS classification model</w:t>
            </w:r>
          </w:p>
        </w:tc>
        <w:tc>
          <w:tcPr>
            <w:tcW w:w="109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Hudomiet</w:t>
            </w:r>
          </w:p>
        </w:tc>
      </w:tr>
      <w:tr>
        <w:trPr>
          <w:trHeight w:val="557" w:hRule="atLeast"/>
        </w:trPr>
        <w:tc>
          <w:tcPr>
            <w:tcW w:w="2085" w:type="dxa"/>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Consensus diagnosis</w:t>
            </w:r>
          </w:p>
        </w:tc>
        <w:tc>
          <w:tcPr>
            <w:tcW w:w="1820"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1.000</w:t>
            </w:r>
          </w:p>
        </w:tc>
        <w:tc>
          <w:tcPr>
            <w:tcW w:w="1902"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0.728</w:t>
            </w:r>
          </w:p>
        </w:tc>
        <w:tc>
          <w:tcPr>
            <w:tcW w:w="1209"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0.099</w:t>
            </w:r>
          </w:p>
        </w:tc>
        <w:tc>
          <w:tcPr>
            <w:tcW w:w="2087"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0.284</w:t>
            </w:r>
          </w:p>
        </w:tc>
        <w:tc>
          <w:tcPr>
            <w:tcW w:w="1092" w:type="dxa"/>
            <w:tcBorders>
              <w:top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0.396</w:t>
            </w:r>
          </w:p>
        </w:tc>
      </w:tr>
      <w:tr>
        <w:trPr>
          <w:trHeight w:val="557" w:hRule="atLeast"/>
        </w:trPr>
        <w:tc>
          <w:tcPr>
            <w:tcW w:w="2085"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Algorithmic diagnosis</w:t>
            </w:r>
          </w:p>
        </w:tc>
        <w:tc>
          <w:tcPr>
            <w:tcW w:w="1820"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0.728</w:t>
            </w:r>
          </w:p>
        </w:tc>
        <w:tc>
          <w:tcPr>
            <w:tcW w:w="190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1.000</w:t>
            </w:r>
          </w:p>
        </w:tc>
        <w:tc>
          <w:tcPr>
            <w:tcW w:w="120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0.510</w:t>
            </w:r>
          </w:p>
        </w:tc>
        <w:tc>
          <w:tcPr>
            <w:tcW w:w="2087"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0.505</w:t>
            </w:r>
          </w:p>
        </w:tc>
        <w:tc>
          <w:tcPr>
            <w:tcW w:w="109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0.551</w:t>
            </w:r>
          </w:p>
        </w:tc>
      </w:tr>
      <w:tr>
        <w:trPr>
          <w:trHeight w:val="552" w:hRule="atLeast"/>
        </w:trPr>
        <w:tc>
          <w:tcPr>
            <w:tcW w:w="2085"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Langa-Weir</w:t>
            </w:r>
          </w:p>
        </w:tc>
        <w:tc>
          <w:tcPr>
            <w:tcW w:w="1820"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0.099</w:t>
            </w:r>
          </w:p>
        </w:tc>
        <w:tc>
          <w:tcPr>
            <w:tcW w:w="190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0.510</w:t>
            </w:r>
          </w:p>
        </w:tc>
        <w:tc>
          <w:tcPr>
            <w:tcW w:w="120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1.000</w:t>
            </w:r>
          </w:p>
        </w:tc>
        <w:tc>
          <w:tcPr>
            <w:tcW w:w="2087"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0.561</w:t>
            </w:r>
          </w:p>
        </w:tc>
        <w:tc>
          <w:tcPr>
            <w:tcW w:w="109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0.717</w:t>
            </w:r>
          </w:p>
        </w:tc>
      </w:tr>
      <w:tr>
        <w:trPr>
          <w:trHeight w:val="524" w:hRule="atLeast"/>
        </w:trPr>
        <w:tc>
          <w:tcPr>
            <w:tcW w:w="2085" w:type="dxa"/>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HRS classification model</w:t>
            </w:r>
          </w:p>
        </w:tc>
        <w:tc>
          <w:tcPr>
            <w:tcW w:w="1820"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0.284</w:t>
            </w:r>
          </w:p>
        </w:tc>
        <w:tc>
          <w:tcPr>
            <w:tcW w:w="190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0.505</w:t>
            </w:r>
          </w:p>
        </w:tc>
        <w:tc>
          <w:tcPr>
            <w:tcW w:w="1209"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0.561</w:t>
            </w:r>
          </w:p>
        </w:tc>
        <w:tc>
          <w:tcPr>
            <w:tcW w:w="2087"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1.000</w:t>
            </w:r>
          </w:p>
        </w:tc>
        <w:tc>
          <w:tcPr>
            <w:tcW w:w="1092" w:type="dxa"/>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0.603</w:t>
            </w:r>
          </w:p>
        </w:tc>
      </w:tr>
      <w:tr>
        <w:trPr>
          <w:trHeight w:val="524" w:hRule="atLeast"/>
        </w:trPr>
        <w:tc>
          <w:tcPr>
            <w:tcW w:w="2085" w:type="dxa"/>
            <w:tcBorders>
              <w:bottom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Hudomiet</w:t>
            </w:r>
          </w:p>
        </w:tc>
        <w:tc>
          <w:tcPr>
            <w:tcW w:w="1820"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0.396</w:t>
            </w:r>
          </w:p>
        </w:tc>
        <w:tc>
          <w:tcPr>
            <w:tcW w:w="1902"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0.551</w:t>
            </w:r>
          </w:p>
        </w:tc>
        <w:tc>
          <w:tcPr>
            <w:tcW w:w="1209"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0.717</w:t>
            </w:r>
          </w:p>
        </w:tc>
        <w:tc>
          <w:tcPr>
            <w:tcW w:w="2087"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0.603</w:t>
            </w:r>
          </w:p>
        </w:tc>
        <w:tc>
          <w:tcPr>
            <w:tcW w:w="1092" w:type="dxa"/>
            <w:tcBorders>
              <w:bottom w:val="single" w:sz="12" w:space="0" w:color="666666"/>
            </w:tcBorders>
            <w:shd w:color="auto" w:fill="FFFFFF" w:val="clear"/>
            <w:vAlign w:val="center"/>
          </w:tcPr>
          <w:p>
            <w:pPr>
              <w:pStyle w:val="Normal"/>
              <w:pBdr/>
              <w:spacing w:lineRule="auto" w:line="240" w:before="100" w:after="100"/>
              <w:ind w:hanging="0" w:left="100" w:right="100"/>
              <w:jc w:val="righ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1.000</w:t>
            </w:r>
          </w:p>
        </w:tc>
      </w:tr>
      <w:tr>
        <w:trPr>
          <w:trHeight w:val="360" w:hRule="atLeast"/>
        </w:trPr>
        <w:tc>
          <w:tcPr>
            <w:tcW w:w="10195" w:type="dxa"/>
            <w:gridSpan w:val="6"/>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Cambria" w:hAnsi="Cambria" w:eastAsia="Cambria" w:cs="Cambria"/>
                <w:b w:val="false"/>
                <w:i w:val="false"/>
                <w:strike w:val="false"/>
                <w:dstrike w:val="false"/>
                <w:color w:val="000000"/>
                <w:sz w:val="16"/>
                <w:szCs w:val="16"/>
                <w:u w:val="none"/>
              </w:rPr>
            </w:pPr>
            <w:r>
              <w:rPr>
                <w:rFonts w:eastAsia="Cambria" w:cs="Cambria" w:ascii="Cambria" w:hAnsi="Cambria"/>
                <w:b w:val="false"/>
                <w:i w:val="false"/>
                <w:strike w:val="false"/>
                <w:dstrike w:val="false"/>
                <w:color w:val="000000"/>
                <w:sz w:val="16"/>
                <w:szCs w:val="16"/>
                <w:u w:val="none"/>
              </w:rPr>
              <w:t>Source: Source: R_objects/A7_100_hcap_tables.rds, generated by R/A7_100-comparison_of_diagnoses.R. Entries are quadratic weighted kappas. Consensus comparisons use normalized HCAP16WGTR / samplingP weights; other comparisons use HCAP16WGTR.</w:t>
            </w:r>
          </w:p>
        </w:tc>
      </w:tr>
    </w:tbl>
    <w:p>
      <w:pPr>
        <w:pStyle w:val="Normal"/>
        <w:rPr/>
      </w:pPr>
      <w:r>
        <w:rPr/>
      </w:r>
      <w:r>
        <w:br w:type="page"/>
      </w:r>
    </w:p>
    <w:p>
      <w:pPr>
        <w:pStyle w:val="BodyText"/>
        <w:spacing w:before="0" w:after="180"/>
        <w:rPr/>
      </w:pPr>
      <w:r>
        <w:rPr/>
        <w:t>Thanks for reading.</w:t>
      </w:r>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2026-09-22</w:t>
    </w:r>
    <w:r>
      <w:rPr/>
      <w:fldChar w:fldCharType="end"/>
    </w:r>
    <w:r>
      <mc:AlternateContent>
        <mc:Choice Requires="wps">
          <w:drawing>
            <wp:anchor distT="0" distB="0" distL="0" distR="0" simplePos="0" relativeHeight="12" behindDoc="0" locked="0" layoutInCell="0" allowOverlap="1">
              <wp:simplePos x="0" y="0"/>
              <wp:positionH relativeFrom="margin">
                <wp:align>right</wp:align>
              </wp:positionH>
              <wp:positionV relativeFrom="paragraph">
                <wp:posOffset>635</wp:posOffset>
              </wp:positionV>
              <wp:extent cx="56515" cy="116840"/>
              <wp:effectExtent l="0" t="0" r="0" b="0"/>
              <wp:wrapNone/>
              <wp:docPr id="4"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2026-09-22</w:t>
    </w:r>
    <w:r>
      <w:rPr/>
      <w:fldChar w:fldCharType="end"/>
    </w:r>
    <w:r>
      <mc:AlternateContent>
        <mc:Choice Requires="wps">
          <w:drawing>
            <wp:anchor distT="0" distB="0" distL="0" distR="0" simplePos="0" relativeHeight="12" behindDoc="0" locked="0" layoutInCell="0" allowOverlap="1">
              <wp:simplePos x="0" y="0"/>
              <wp:positionH relativeFrom="margin">
                <wp:align>right</wp:align>
              </wp:positionH>
              <wp:positionV relativeFrom="paragraph">
                <wp:posOffset>635</wp:posOffset>
              </wp:positionV>
              <wp:extent cx="56515" cy="116840"/>
              <wp:effectExtent l="0" t="0" r="0" b="0"/>
              <wp:wrapNone/>
              <wp:docPr id="5"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v:textbox>
              <w10:wrap type="none"/>
            </v:rect>
          </w:pict>
        </mc:Fallback>
      </mc:AlternateContent>
    </w:r>
  </w:p>
</w:ftr>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2026-09-23T00:41:54Z</dcterms:created>
  <dc:creator>Richard N. Jones; Jennifer J. Manly; Douglas Tommet; Lindsay Kobayashi; Lindsay H. Ryan; Deborah A. Levine; Ryan J. McCammon; Steven G. Heeringa; David Weir; Kenneth M. Langa</dc:creator>
  <dc:description/>
  <dc:language>en-US</dc:language>
  <cp:lastModifiedBy/>
  <dcterms:modified xsi:type="dcterms:W3CDTF">2026-09-23T00:41:54Z</dcterms:modified>
  <cp:revision>0</cp:revision>
  <dc:subject/>
  <dc:title>Two HRS Core cognitive classification methods informed by HRS/HCAP: Figures, tables, and appendices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2025-07-22</vt:lpwstr>
  </property>
  <property fmtid="{D5CDD505-2E9C-101B-9397-08002B2CF9AE}" pid="8" name="editor">
    <vt:lpwstr>source</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