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HRS/HCAP: Figures, tables, and appendices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Deborah A. Levine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2026-09-23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02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4737"/>
        <w:gridCol w:w="3285"/>
      </w:tblGrid>
      <w:tr>
        <w:trPr>
          <w:tblHeader w:val="true"/>
          <w:trHeight w:val="619" w:hRule="atLeast"/>
        </w:trPr>
        <w:tc>
          <w:tcPr>
            <w:tcW w:w="802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Table 1. Participant Characteristics</w:t>
            </w:r>
          </w:p>
        </w:tc>
      </w:tr>
      <w:tr>
        <w:trPr>
          <w:tblHeader w:val="true"/>
          <w:trHeight w:val="824" w:hRule="atLeast"/>
        </w:trPr>
        <w:tc>
          <w:tcPr>
            <w:tcW w:w="473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Characteristic</w:t>
            </w:r>
          </w:p>
        </w:tc>
        <w:tc>
          <w:tcPr>
            <w:tcW w:w="328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2016 participants</w:t>
              <w:br/>
              <w:t>(N = 3,496)</w:t>
            </w:r>
          </w:p>
        </w:tc>
      </w:tr>
      <w:tr>
        <w:trPr>
          <w:trHeight w:val="618" w:hRule="atLeast"/>
        </w:trPr>
        <w:tc>
          <w:tcPr>
            <w:tcW w:w="473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Sex (N (%))</w:t>
            </w:r>
          </w:p>
        </w:tc>
        <w:tc>
          <w:tcPr>
            <w:tcW w:w="328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Female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2,095 (59.9%)</w:t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1,401 (40.1%)</w:t>
            </w:r>
          </w:p>
        </w:tc>
      </w:tr>
      <w:tr>
        <w:trPr>
          <w:trHeight w:val="621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Age in years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76.0 (7.6)</w:t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Race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White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2,755 (78.8%)</w:t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Black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563 (16.1%)</w:t>
            </w:r>
          </w:p>
        </w:tc>
      </w:tr>
      <w:tr>
        <w:trPr>
          <w:trHeight w:val="61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All other groups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177 (5.1%)</w:t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collected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 (0.0%)</w:t>
            </w:r>
          </w:p>
        </w:tc>
      </w:tr>
      <w:tr>
        <w:trPr>
          <w:trHeight w:val="620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 origin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3,111 (89.0%)</w:t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383 (11.0%)</w:t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obtained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 (0.1%)</w:t>
            </w:r>
          </w:p>
        </w:tc>
      </w:tr>
      <w:tr>
        <w:trPr>
          <w:trHeight w:val="61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Years of education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12.7 (3.2)</w:t>
            </w:r>
          </w:p>
        </w:tc>
      </w:tr>
      <w:tr>
        <w:trPr>
          <w:trHeight w:val="61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2,313 (66.2%)</w:t>
            </w:r>
          </w:p>
        </w:tc>
      </w:tr>
      <w:tr>
        <w:trPr>
          <w:trHeight w:val="61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Mild cognitive impairment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808 (23.1%)</w:t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375 (10.7%)</w:t>
            </w:r>
          </w:p>
        </w:tc>
      </w:tr>
      <w:tr>
        <w:trPr>
          <w:trHeight w:val="621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Langa-Weir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2,432 (69.6%)</w:t>
            </w:r>
          </w:p>
        </w:tc>
      </w:tr>
      <w:tr>
        <w:trPr>
          <w:trHeight w:val="621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Cognitively impaired, not demented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731 (20.9%)</w:t>
            </w:r>
          </w:p>
        </w:tc>
      </w:tr>
      <w:tr>
        <w:trPr>
          <w:trHeight w:val="616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333 (9.5%)</w:t>
            </w:r>
          </w:p>
        </w:tc>
      </w:tr>
      <w:tr>
        <w:trPr>
          <w:trHeight w:val="617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Missing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0</w:t>
            </w:r>
          </w:p>
        </w:tc>
      </w:tr>
      <w:tr>
        <w:trPr>
          <w:trHeight w:val="621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(missing)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3,283</w:t>
            </w:r>
          </w:p>
        </w:tc>
      </w:tr>
      <w:tr>
        <w:trPr>
          <w:trHeight w:val="618" w:hRule="atLeast"/>
        </w:trPr>
        <w:tc>
          <w:tcPr>
            <w:tcW w:w="473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(Mean (SD))</w:t>
            </w:r>
          </w:p>
        </w:tc>
        <w:tc>
          <w:tcPr>
            <w:tcW w:w="328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3.8 (0.8)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Source: R/MS_MAIN/MS_001_analysis_cohort.R; R_objects/A7_005_hrs16_merged.rds.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was collected in the HRS Core interview, not HCAP, and only from participants who did not complete Core cognitive testing.</w:t>
            </w:r>
          </w:p>
        </w:tc>
      </w:tr>
    </w:tbl>
    <w:p>
      <w:pPr>
        <w:pStyle w:val="FootnoteText"/>
        <w:rPr/>
      </w:pPr>
      <w:r>
        <w:rPr/>
        <w:t>Notes: The study sample includes all 3,496 HRS/HCAP 2016 participants, including participants without Core cognitive testing who were classified from informant (Jorm IQCODE) data. Race and ethnicity data were gathered via self-report at the time of first interview and are considered to be markers of exposure to evolving systems of racism, not as a proxy for genetic variation or any other biological variable. Race was self-selected by participants at the time of the first interview from a list of options defined by the 2000 US Census criteria. Other race includes a pooled group of participants who identified as American Indian or Alaska Native, Asian, Native Hawaiian or Pacific Islander, or another self-described race, consolidated due to small sample sizes and risk of identification.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944"/>
        <w:gridCol w:w="1116"/>
        <w:gridCol w:w="1115"/>
        <w:gridCol w:w="1117"/>
        <w:gridCol w:w="1116"/>
        <w:gridCol w:w="1115"/>
        <w:gridCol w:w="1117"/>
      </w:tblGrid>
      <w:tr>
        <w:trPr>
          <w:tblHeader w:val="true"/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2. HCAP classification margins by method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231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Normal</w:t>
            </w:r>
          </w:p>
        </w:tc>
        <w:tc>
          <w:tcPr>
            <w:tcW w:w="2233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MCI</w:t>
            </w:r>
          </w:p>
        </w:tc>
        <w:tc>
          <w:tcPr>
            <w:tcW w:w="223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Method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2,313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69.4%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808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21.4%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375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9.2%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2,453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71.4%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735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20.5%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308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8.0%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2,780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82.3%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200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4.7%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516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12.9%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E6E6E6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Secondary comparators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2,432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74.9%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731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17.3%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333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7.9%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2,326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71.1%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865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21.0%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286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7.2%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Note. N values are unweighted HRS/HCAP participant counts. Percentages use HCAP16WGTR; PMM counts and percentages use the non-replicated combined cognition/Jorm model sample.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References. Manly, J. J., Jones, R. N., Langa, K. M., Ryan, L. H., Levine, D. A., McCammon, R., Heeringa, S. G., &amp; Weir, D. (2022). Estimating the prevalence of dementia and mild cognitive impairment in the US: The 2016 Health and Retirement Study Harmonized Cognitive Assessment Protocol Project. JAMA Neurology, 79(12), 1242-1249. https://doi.org/10.1001/jamaneurol.2022.3543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Langa, K. M., Weir, D. R., Kabeto, M., &amp; Sonnega, A. (2023). Langa-Weir Classification of Cognitive Function (1995-2020). https://hrsdata.isr.umich.edu/sites/default/files/documentation/data-descriptions/1695907706/Data_Description_Langa_Weir_Classifications2020_V2.pdf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Hudomiet, P., Hurd, M. D., &amp; Rohwedder, S. (2022). Trends in inequalities in the prevalence of dementia in the United States. Proceedings of the National Academy of Sciences, 119(46), e2212205119. https://doi.org/10.1073/pnas.2212205119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88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700"/>
        <w:gridCol w:w="1957"/>
        <w:gridCol w:w="3114"/>
        <w:gridCol w:w="3115"/>
      </w:tblGrid>
      <w:tr>
        <w:trPr>
          <w:tblHeader w:val="true"/>
          <w:trHeight w:val="561" w:hRule="atLeast"/>
        </w:trPr>
        <w:tc>
          <w:tcPr>
            <w:tcW w:w="9886" w:type="dxa"/>
            <w:gridSpan w:val="4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3. Agreement among Core classifications and comparison diagnoses</w:t>
            </w:r>
          </w:p>
        </w:tc>
      </w:tr>
      <w:tr>
        <w:trPr>
          <w:tblHeader w:val="true"/>
          <w:trHeight w:val="559" w:hRule="atLeast"/>
        </w:trPr>
        <w:tc>
          <w:tcPr>
            <w:tcW w:w="170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1</w:t>
            </w:r>
          </w:p>
        </w:tc>
        <w:tc>
          <w:tcPr>
            <w:tcW w:w="195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2</w:t>
            </w:r>
          </w:p>
        </w:tc>
        <w:tc>
          <w:tcPr>
            <w:tcW w:w="311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Three-class quadratic weighted kappa</w:t>
            </w:r>
          </w:p>
        </w:tc>
        <w:tc>
          <w:tcPr>
            <w:tcW w:w="3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 versus non-dementia kappa</w:t>
            </w:r>
          </w:p>
        </w:tc>
      </w:tr>
      <w:tr>
        <w:trPr>
          <w:trHeight w:val="561" w:hRule="atLeast"/>
        </w:trPr>
        <w:tc>
          <w:tcPr>
            <w:tcW w:w="170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0.505</w:t>
            </w:r>
          </w:p>
        </w:tc>
        <w:tc>
          <w:tcPr>
            <w:tcW w:w="3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0.352</w:t>
            </w:r>
          </w:p>
        </w:tc>
      </w:tr>
      <w:tr>
        <w:trPr>
          <w:trHeight w:val="56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0.437</w:t>
            </w:r>
          </w:p>
        </w:tc>
      </w:tr>
      <w:tr>
        <w:trPr>
          <w:trHeight w:val="56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0.407</w:t>
            </w:r>
          </w:p>
        </w:tc>
      </w:tr>
      <w:tr>
        <w:trPr>
          <w:trHeight w:val="56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0.457</w:t>
            </w:r>
          </w:p>
        </w:tc>
      </w:tr>
      <w:tr>
        <w:trPr>
          <w:trHeight w:val="56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0.536</w:t>
            </w:r>
          </w:p>
        </w:tc>
      </w:tr>
      <w:tr>
        <w:trPr>
          <w:trHeight w:val="41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6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0.561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0.444</w:t>
            </w:r>
          </w:p>
        </w:tc>
      </w:tr>
      <w:tr>
        <w:trPr>
          <w:trHeight w:val="559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0.583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0.487</w:t>
            </w:r>
          </w:p>
        </w:tc>
      </w:tr>
      <w:tr>
        <w:trPr>
          <w:trHeight w:val="559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0.670</w:t>
            </w:r>
          </w:p>
        </w:tc>
      </w:tr>
      <w:tr>
        <w:trPr>
          <w:trHeight w:val="559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0.736</w:t>
            </w:r>
          </w:p>
        </w:tc>
      </w:tr>
      <w:tr>
        <w:trPr>
          <w:trHeight w:val="41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6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0.474</w:t>
            </w:r>
          </w:p>
        </w:tc>
      </w:tr>
      <w:tr>
        <w:trPr>
          <w:trHeight w:val="528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0.633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0.515</w:t>
            </w:r>
          </w:p>
        </w:tc>
      </w:tr>
      <w:tr>
        <w:trPr>
          <w:trHeight w:val="529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0.806</w:t>
            </w:r>
          </w:p>
        </w:tc>
      </w:tr>
      <w:tr>
        <w:trPr>
          <w:trHeight w:val="41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61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0.284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0.675</w:t>
            </w:r>
          </w:p>
        </w:tc>
      </w:tr>
      <w:tr>
        <w:trPr>
          <w:trHeight w:val="529" w:hRule="atLeast"/>
        </w:trPr>
        <w:tc>
          <w:tcPr>
            <w:tcW w:w="170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0.528</w:t>
            </w:r>
          </w:p>
        </w:tc>
        <w:tc>
          <w:tcPr>
            <w:tcW w:w="3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0.384</w:t>
            </w:r>
          </w:p>
        </w:tc>
      </w:tr>
      <w:tr>
        <w:trPr>
          <w:trHeight w:val="360" w:hRule="atLeast"/>
        </w:trPr>
        <w:tc>
          <w:tcPr>
            <w:tcW w:w="9886" w:type="dxa"/>
            <w:gridSpan w:val="4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Source: A7 rows: R_objects/A7_100_hcap_tables.rds, generated by R/A7_100-comparison_of_diagnoses.R. PMM rows: R/PMM_110_Comparison_of_Consensus_Langa_Weir.R; PMM-Hudomiet was calculated from the same saved probabilities and A7 comparison data. Three-class values are quadratic weighted kappas; binary values are kappas for dementia versus non-dementia. Consensus comparisons use normalized HCAP16WGTR / samplingP weights; other comparisons use HCAP16WGTR.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0" w:name="fig-core-algorithm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380365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3803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1: Core algorithm</w:t>
            </w:r>
            <w:bookmarkEnd w:id="0"/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1" w:name="fig-pmm-class-probabilities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266890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2668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2: PMM class probabilities in HRS/HCAP</w:t>
            </w:r>
            <w:bookmarkEnd w:id="1"/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BodyText"/>
        <w:spacing w:before="0" w:after="180"/>
        <w:rPr/>
      </w:pPr>
      <w:r>
        <w:rPr/>
        <w:t>Thanks for reading.</w:t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2026-09-23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1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2026-09-23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1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2026-09-23T13:19:36Z</dcterms:created>
  <dc:creator>Richard N. Jones; Jennifer J. Manly; Douglas Tommet; Lindsay Kobayashi; Lindsay H. Ryan; Deborah A. Levine; Ryan J. McCammon; Steven G. Heeringa; David Weir; Kenneth M. Langa</dc:creator>
  <dc:description/>
  <dc:language>en-US</dc:language>
  <cp:lastModifiedBy/>
  <dcterms:modified xsi:type="dcterms:W3CDTF">2026-09-23T13:19:36Z</dcterms:modified>
  <cp:revision>0</cp:revision>
  <dc:subject/>
  <dc:title>Two HRS Core cognitive classification methods informed by HRS/HCAP: Figures, tables, and appendices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2026-09-23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