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D7377"/>
          <w:sz w:val="48"/>
          <w:szCs w:val="48"/>
        </w:rPr>
        <w:t xml:space="preserve">UDM Pipeline</w:t>
      </w:r>
    </w:p>
    <w:p>
      <w:pPr>
        <w:spacing w:after="40"/>
      </w:pPr>
      <w:r>
        <w:rPr>
          <w:rFonts w:ascii="Arial" w:cs="Arial" w:eastAsia="Arial" w:hAnsi="Arial"/>
          <w:color w:val="475569"/>
          <w:sz w:val="28"/>
          <w:szCs w:val="28"/>
        </w:rPr>
        <w:t xml:space="preserve">Idempotency Guarantees &amp; SHA-256 Design Rationale</w:t>
      </w:r>
    </w:p>
    <w:p>
      <w:pPr>
        <w:pBdr>
          <w:bottom w:val="single" w:color="0D7377" w:sz="6" w:space="8"/>
        </w:pBdr>
        <w:spacing w:after="400"/>
      </w:pPr>
      <w:r>
        <w:rPr>
          <w:rFonts w:ascii="Arial" w:cs="Arial" w:eastAsia="Arial" w:hAnsi="Arial"/>
          <w:color w:val="64748B"/>
          <w:sz w:val="20"/>
          <w:szCs w:val="20"/>
        </w:rPr>
        <w:t xml:space="preserve">Supporting document for the UDM Pipeline presentation. Provides concrete edge case examples demonstrating how idempotency is ensured across CDC, SCD2, and pipeline orchestration, and why SHA-256 was chosen over alternatives.</w:t>
      </w:r>
    </w:p>
    <w:p>
      <w:pPr>
        <w:pStyle w:val="Heading1"/>
      </w:pPr>
      <w:r>
        <w:t xml:space="preserve">1. Idempotency: What It Means for This Pipeline</w:t>
      </w:r>
    </w:p>
    <w:p>
      <w:pPr>
        <w:spacing w:after="160"/>
      </w:pPr>
      <w:r>
        <w:t xml:space="preserve">An idempotent operation produces the same result regardless of how many times it runs. For a data pipeline, this means: if the pipeline crashes, gets killed, or is accidentally re-run, the data in Stage and Bronze remains correct without manual intervention.</w:t>
      </w:r>
    </w:p>
    <w:p>
      <w:pPr>
        <w:spacing w:after="160"/>
      </w:pPr>
      <w:r>
        <w:rPr>
          <w:b/>
          <w:bCs/>
        </w:rPr>
        <w:t xml:space="preserve">The 2024–2025 industry consensus: </w:t>
      </w:r>
      <w:r>
        <w:t xml:space="preserve">"Idempotency is not about preventing retries — it's about making retries safe." This principle, validated by Databricks, dbt, and Debezium production deployments at companies like Zalando processing billions of events, drives every design decision below.</w:t>
      </w:r>
    </w:p>
    <w:p>
      <w:pPr>
        <w:pStyle w:val="Heading2"/>
      </w:pPr>
      <w:r>
        <w:t xml:space="preserve">1.1 CDC Idempotency</w:t>
      </w:r>
    </w:p>
    <w:p>
      <w:pPr>
        <w:spacing w:after="160"/>
      </w:pPr>
      <w:r>
        <w:t xml:space="preserve">The CDC engine compares SHA-256 hashes of source data against Stage hashes using three-way anti-joins. Every step is inherently idempotent because it is based on deterministic comparison of immutable inputs.</w:t>
      </w:r>
    </w:p>
    <w:p>
      <w:pPr>
        <w:pStyle w:val="Heading3"/>
      </w:pPr>
      <w:r>
        <w:t xml:space="preserve">Edge Case: Re-extraction of unchanged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extracts the same day twice (accidental re-run or Automic retry)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data is re-extracted. SHA-256 hashes are recomputed. Anti-join finds zero new PKs, hash comparison finds zero differences.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 0 inserts, 0 updates, 0 deletes. Stage is untouched. The operation is a no-op.</w:t>
            </w:r>
          </w:p>
        </w:tc>
      </w:tr>
    </w:tbl>
    <w:p>
      <w:pPr>
        <w:spacing w:after="160"/>
      </w:pPr>
      <w:r>
        <w:rPr>
          <w:i/>
          <w:iCs/>
        </w:rPr>
        <w:t xml:space="preserve">Mechanism: </w:t>
      </w:r>
      <w:r>
        <w:t xml:space="preserve">Hash computation is deterministic — same input always produces the same SHA-256 output. Anti-joins compare PK existence, not insertion order or timestamps. Re-running the comparison with identical data produces identical classification.</w:t>
      </w:r>
    </w:p>
    <w:p>
      <w:pPr>
        <w:pStyle w:val="Heading3"/>
      </w:pPr>
      <w:r>
        <w:t xml:space="preserve">Edge Case: Source data changes between two runs on the same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1 at 8am extracts day's data. Run 2 at 2pm re-extracts. Source row PK=1000 changed between runs.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2 computes a new hash for PK=1000. The hash differs from Stage. CDC correctly classifies PK=1000 as an UPDATE.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double-counting. The UPDATE replaces the Stage hash with the latest value. If Run 1 already wrote it, Run 2 overwrites with the newer version.</w:t>
            </w:r>
          </w:p>
        </w:tc>
      </w:tr>
    </w:tbl>
    <w:p>
      <w:pPr>
        <w:pStyle w:val="Heading3"/>
      </w:pPr>
      <w:r>
        <w:t xml:space="preserve">Edge Case: NULL primary keys in source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contains rows with NULL in one or more PK columns. These appear in every anti-join result (Polars join_nulls=False).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P0-4 filter: all rows with NULL PKs are filtered and logged BEFORE any join operation. They never enter the CDC comparison.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this filter, NULL-PK rows would appear as phantom INSERTs on every run (not idempotent). With the filter, re-runs produce identical results.</w:t>
            </w:r>
          </w:p>
        </w:tc>
      </w:tr>
    </w:tbl>
    <w:p>
      <w:pPr>
        <w:pStyle w:val="Heading3"/>
      </w:pPr>
      <w:r>
        <w:t xml:space="preserve">Edge Case: Cross-day transaction overlap (large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source transaction spans midnight. Row appears in Day 1 window but gets committed in Day 2 window.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mitigations: (1) LookbackDays re-extracts previous days on each run, catching split transactions. (2) OVERLAP_MINUTES extends extraction window backward. (3) Weekly reconciliation catches any remaining drift.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CDC is idempotent under overlapping windows: unchanged rows hash identically, so re-processing a day that overlaps with the previous run produces no phantom changes.</w:t>
            </w:r>
          </w:p>
        </w:tc>
      </w:tr>
    </w:tbl>
    <w:p>
      <w:pPr>
        <w:pStyle w:val="Heading3"/>
      </w:pPr>
      <w:r>
        <w:t xml:space="preserve">Edge Case: Empty extraction (source system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 listener is down or permissions are revoked. Extraction returns zero rows.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P1-1 empty extraction guard triggers: compares returned row count against rolling median of last 5 successful runs. A &gt;90% drop blocks CDC entirely and logs an error.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this guard, zero-row extraction would classify ALL existing Stage rows as DELETEs — a mass false-delete cascade. The guard prevents this from ever reaching CDC.</w:t>
            </w:r>
          </w:p>
        </w:tc>
      </w:tr>
    </w:tbl>
    <w:p>
      <w:pPr>
        <w:pBdr>
          <w:left w:val="single" w:color="0D7377" w:sz="12" w:space="8"/>
        </w:pBdr>
        <w:spacing w:before="200" w:after="40"/>
        <w:ind w:left="200"/>
      </w:pPr>
      <w:r>
        <w:rPr>
          <w:rFonts w:ascii="Arial" w:cs="Arial" w:eastAsia="Arial" w:hAnsi="Arial"/>
          <w:b/>
          <w:bCs/>
          <w:color w:val="0D7377"/>
          <w:sz w:val="22"/>
          <w:szCs w:val="22"/>
        </w:rPr>
        <w:t xml:space="preserve">Key Principle</w:t>
      </w:r>
    </w:p>
    <w:p>
      <w:pPr>
        <w:pBdr>
          <w:left w:val="single" w:color="0D7377" w:sz="12" w:space="8"/>
        </w:pBdr>
        <w:spacing w:after="200"/>
        <w:ind w:left="200"/>
      </w:pPr>
      <w:r>
        <w:rPr>
          <w:rFonts w:ascii="Arial" w:cs="Arial" w:eastAsia="Arial" w:hAnsi="Arial"/>
          <w:sz w:val="20"/>
          <w:szCs w:val="20"/>
        </w:rPr>
        <w:t xml:space="preserve">Every CDC comparison is a pure function: given the same source data and Stage data, it produces the same classification. No mutable state, no sequence dependence, no side effects that alter future runs.</w:t>
      </w:r>
    </w:p>
    <w:p>
      <w:r>
        <w:br w:type="page"/>
      </w:r>
    </w:p>
    <w:p>
      <w:pPr>
        <w:pStyle w:val="Heading2"/>
      </w:pPr>
      <w:r>
        <w:t xml:space="preserve">1.2 SCD2 Idempotency</w:t>
      </w:r>
    </w:p>
    <w:p>
      <w:pPr>
        <w:spacing w:after="160"/>
      </w:pPr>
      <w:r>
        <w:t xml:space="preserve">SCD2 is harder to make idempotent because it involves multiple write operations (INSERT + UPDATE) that cannot be wrapped in a single atomic statement. The pipeline achieves idempotency through INSERT-first ordering, filtered unique indexes, and automatic orphan cleanup.</w:t>
      </w:r>
    </w:p>
    <w:p>
      <w:pPr>
        <w:pStyle w:val="Heading3"/>
      </w:pPr>
      <w:r>
        <w:t xml:space="preserve">Edge Case: Crash after INSERT, before UPDATE (the core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PK=5000 changed. Pipeline INSERTs new version with Flag=0. Server crashes before the UPDATE that closes the old version and activates the new 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next run: (1) B-4 orphan cleanup deletes the Flag=0 row with NULL UdmEndDateTime. (2) CDC re-detects PK=5000 as changed (old hash still in Stage). (3) SCD2 re-processes normally.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 active version was never modified — it's still there with Flag=1. The orphan is auto-cleaned. No data loss, no manual recovery. This is the fundamental advantage of INSERT-first.</w:t>
            </w:r>
          </w:p>
        </w:tc>
      </w:tr>
    </w:tbl>
    <w:p>
      <w:pPr>
        <w:spacing w:after="160"/>
      </w:pPr>
      <w:r>
        <w:rPr>
          <w:i/>
          <w:iCs/>
        </w:rPr>
        <w:t xml:space="preserve">Contrast with UPDATE-first: </w:t>
      </w:r>
      <w:r>
        <w:t xml:space="preserve">If the pipeline had closed the old version first (Flag=0) and then crashed before INSERT, there would be ZERO active rows for PK=5000. Downstream queries return nothing. This is silent data loss requiring manual recovery to reconstruct the correct state.</w:t>
      </w:r>
    </w:p>
    <w:p>
      <w:pPr>
        <w:pStyle w:val="Heading3"/>
      </w:pPr>
      <w:r>
        <w:t xml:space="preserve">Edge Case: Retry creates duplicate active row (INSERT-first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SCD2 INSERT succeeds, activation UPDATE succeeds, but the pipeline crashes before recording success. Next run re-processes the same change.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SCD-1 filtered unique index on (pk_columns) WHERE UdmActiveFlag=1 prevents a second active row. The INSERT gets a constraint violation, which is caught and handled.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constraint turns a potentially dangerous duplicate into a catchable error. P1-16 dedup recovery also runs at SCD2 start, deduplicating any active Bronze rows before comparison.</w:t>
            </w:r>
          </w:p>
        </w:tc>
      </w:tr>
    </w:tbl>
    <w:p>
      <w:pPr>
        <w:pStyle w:val="Heading3"/>
      </w:pPr>
      <w:r>
        <w:t xml:space="preserve">Edge Case: SCD2 UPDATE is re-run (closing already-closed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UPDATE JOIN that closes old versions runs twice for the same batch (retry scenario).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 The WHERE clause includes UdmActiveFlag = 1. Already-closed rows have Flag=0, so the second execution matches zero rows.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is naturally idempotent: rows that were already closed don't qualify for the WHERE filter. @@ROWCOUNT = 0, no data modified.</w:t>
            </w:r>
          </w:p>
        </w:tc>
      </w:tr>
    </w:tbl>
    <w:p>
      <w:pPr>
        <w:pStyle w:val="Heading3"/>
      </w:pPr>
      <w:r>
        <w:t xml:space="preserve">Edge Case: Resurrected PK (previously deleted, reappears in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PK=7000 was deleted (closed in Bronze). Later, the source system re-inserts 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E-18: CDC detects the PK in source but not in Stage current rows — classified as INSERT. SCD2 creates a new version with UdmScd2Operation='R' (resurrected).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 operation code provides audit trail. The old closed version chain is preserved. Re-running this is safe: if the INSERT already happened, the filtered unique index prevents duplicates.</w:t>
            </w:r>
          </w:p>
        </w:tc>
      </w:tr>
    </w:tbl>
    <w:p>
      <w:pPr>
        <w:pStyle w:val="Heading3"/>
      </w:pPr>
      <w:r>
        <w:t xml:space="preserve">Edge Case: Partial BCP load during SCD2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BCP is loading 50,000 new SCD2 versions. Network drops at row 25,000.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E-3: BCP for Bronze runs without the -b flag (atomic=True). The entire load is a single transaction. Failure at row 25,000 rolls back ALL 50,000 rows.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partial state: either all rows loaded or none did. Re-run is safe because the orphan cleanup (B-4) handles any Flag=0 artifacts, and CDC re-detects all changes.</w:t>
            </w:r>
          </w:p>
        </w:tc>
      </w:tr>
    </w:tbl>
    <w:p>
      <w:pPr>
        <w:pBdr>
          <w:left w:val="single" w:color="0D7377" w:sz="12" w:space="8"/>
        </w:pBdr>
        <w:spacing w:before="200" w:after="40"/>
        <w:ind w:left="200"/>
      </w:pPr>
      <w:r>
        <w:rPr>
          <w:rFonts w:ascii="Arial" w:cs="Arial" w:eastAsia="Arial" w:hAnsi="Arial"/>
          <w:b/>
          <w:bCs/>
          <w:color w:val="0D7377"/>
          <w:sz w:val="22"/>
          <w:szCs w:val="22"/>
        </w:rPr>
        <w:t xml:space="preserve">Defense-in-Depth Layers for SCD2 Idempotency</w:t>
      </w:r>
    </w:p>
    <w:p>
      <w:pPr>
        <w:pBdr>
          <w:left w:val="single" w:color="0D7377" w:sz="12" w:space="8"/>
        </w:pBdr>
        <w:spacing w:after="200"/>
        <w:ind w:left="200"/>
      </w:pPr>
      <w:r>
        <w:rPr>
          <w:rFonts w:ascii="Arial" w:cs="Arial" w:eastAsia="Arial" w:hAnsi="Arial"/>
          <w:sz w:val="20"/>
          <w:szCs w:val="20"/>
        </w:rPr>
        <w:t xml:space="preserve">Four independent mechanisms work together: (1) INSERT-first ordering ensures crash always leaves old data intact. (2) Filtered unique index prevents duplicate active rows on retry. (3) Orphan cleanup (B-4) auto-removes crash artifacts. (4) Bronze dedup (P1-16) recovers from any state where duplicates persist.</w:t>
      </w:r>
    </w:p>
    <w:p>
      <w:pPr>
        <w:pStyle w:val="Heading2"/>
      </w:pPr>
      <w:r>
        <w:t xml:space="preserve">1.3 Pipeline Orchestration Idempotency</w:t>
      </w:r>
    </w:p>
    <w:p>
      <w:pPr>
        <w:pStyle w:val="Heading3"/>
      </w:pPr>
      <w:r>
        <w:t xml:space="preserve">Edge Case: Two pipeline instances run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Automic triggers the pipeline while a previous run is still processing the same table.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P1-2: sp_getapplock with @LockTimeout=0 (non-blocking). The second instance immediately receives 'lock not granted' and skips the 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Session-owned locks auto-release on connection drop (crash-safe). No deadlock risk. The skipped table will be processed on the next scheduled run.</w:t>
            </w:r>
          </w:p>
        </w:tc>
      </w:tr>
    </w:tbl>
    <w:p>
      <w:pPr>
        <w:pStyle w:val="Heading3"/>
      </w:pPr>
      <w:r>
        <w:t xml:space="preserve">Edge Case: Large table processing fails on day 15 of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a 30-day backfill. Days 1-14 complete successfully. Day 15 fails (e.g., out of memory, source timeout).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P1-5/P1-6: Each completed day is checkpointed as SUCCESS in PipelineExtractionState. Day 15 is marked FAILED_CDC (or FAILED_SCD2). Next run queries the state table, finds day 15 as the resume point, and picks up there.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1-14 are never re-processed. Day 15 is fully re-run (extraction + CDC + SCD2), which is safe because each step is individually idempotent.</w:t>
            </w:r>
          </w:p>
        </w:tc>
      </w:tr>
    </w:tbl>
    <w:p>
      <w:pPr>
        <w:pStyle w:val="Heading3"/>
      </w:pPr>
      <w:r>
        <w:t xml:space="preserve">Edge Case: Schema changes between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system adds a new column between Run 1 and Run 2. The Stage/Bronze tables don't have it yet.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P0-2: Schema evolution detects the new column, issues ALTER TABLE ADD on Stage and Bronze before any data processing.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columns flow through automatically. Removed columns block processing and require review — preventing silent data loss from an unexpected schema change.</w:t>
            </w:r>
          </w:p>
        </w:tc>
      </w:tr>
    </w:tbl>
    <w:p>
      <w:r>
        <w:br w:type="page"/>
      </w:r>
    </w:p>
    <w:p>
      <w:pPr>
        <w:pStyle w:val="Heading1"/>
      </w:pPr>
      <w:r>
        <w:t xml:space="preserve">2. Why SHA-256?</w:t>
      </w:r>
    </w:p>
    <w:p>
      <w:pPr>
        <w:spacing w:after="160"/>
      </w:pPr>
      <w:r>
        <w:t xml:space="preserve">The choice of SHA-256 as the hashing algorithm was deliberate and informed by mathematical analysis, cross-platform requirements, and lessons from production failures documented by other teams.</w:t>
      </w:r>
    </w:p>
    <w:p>
      <w:pPr>
        <w:pStyle w:val="Heading2"/>
      </w:pPr>
      <w:r>
        <w:t xml:space="preserve">2.1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200"/>
        <w:gridCol w:w="2200"/>
        <w:gridCol w:w="2260"/>
      </w:tblGrid>
      <w:tr>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Algorithm</w:t>
            </w:r>
          </w:p>
        </w:tc>
        <w:tc>
          <w:tcPr>
            <w:tcW w:type="dxa" w:w="9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Bits</w:t>
            </w:r>
          </w:p>
        </w:tc>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P(collision) at 1B rows</w:t>
            </w:r>
          </w:p>
        </w:tc>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Per-key risk</w:t>
            </w:r>
          </w:p>
        </w:tc>
        <w:tc>
          <w:tcPr>
            <w:tcW w:type="dxa" w:w="22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CRC-32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 4.3B</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Never use</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xxHash64</w:t>
            </w:r>
          </w:p>
        </w:tc>
        <w:tc>
          <w:tcPr>
            <w:tcW w:type="dxa" w:w="9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64</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~2.7%</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~5.4×10⁻²⁰</w:t>
            </w:r>
          </w:p>
        </w:tc>
        <w:tc>
          <w:tcPr>
            <w:tcW w:type="dxa" w:w="22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D97706"/>
                <w:sz w:val="20"/>
                <w:szCs w:val="20"/>
              </w:rPr>
              <w:t xml:space="preserve">Dangerous for recon/dedup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~1.5×10⁻²¹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~2.9×10⁻³⁹</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(but cryptographically broken)</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SHA-256</w:t>
            </w:r>
          </w:p>
        </w:tc>
        <w:tc>
          <w:tcPr>
            <w:tcW w:type="dxa" w:w="9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256</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~10⁻⁵⁸</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~10⁻⁷⁷</w:t>
            </w:r>
          </w:p>
        </w:tc>
        <w:tc>
          <w:tcPr>
            <w:tcW w:type="dxa" w:w="22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b/>
                <w:bCs/>
                <w:color w:val="16A34A"/>
                <w:sz w:val="20"/>
                <w:szCs w:val="20"/>
              </w:rPr>
              <w:t xml:space="preserve">Chosen: safe at any scale</w:t>
            </w:r>
          </w:p>
        </w:tc>
      </w:tr>
    </w:tbl>
    <w:p>
      <w:pPr>
        <w:spacing w:after="160"/>
      </w:pPr>
      <w:r>
        <w:rPr>
          <w:rFonts w:ascii="Arial" w:cs="Arial" w:eastAsia="Arial" w:hAnsi="Arial"/>
          <w:i/>
          <w:iCs/>
          <w:color w:val="64748B"/>
          <w:sz w:val="18"/>
          <w:szCs w:val="18"/>
        </w:rPr>
        <w:t xml:space="preserve">Birthday paradox formula: P ≈ n² / (2 × 2ᵇ), where n = row count and b = hash bits.</w:t>
      </w:r>
    </w:p>
    <w:p>
      <w:pPr>
        <w:pStyle w:val="Heading2"/>
      </w:pPr>
      <w:r>
        <w:t xml:space="preserve">2.2 The Two Collision Models — Why This Matters</w:t>
      </w:r>
    </w:p>
    <w:p>
      <w:pPr>
        <w:spacing w:after="160"/>
      </w:pPr>
      <w:r>
        <w:t xml:space="preserve">There are two fundamentally different ways to think about hash collision risk, and confusing them leads to either dangerous overconfidence or unnecessary alarm:</w:t>
      </w:r>
    </w:p>
    <w:p>
      <w:pPr>
        <w:pStyle w:val="Heading3"/>
      </w:pPr>
      <w:r>
        <w:t xml:space="preserve">Per-Key Comparison (CDC use case)</w:t>
      </w:r>
    </w:p>
    <w:p>
      <w:pPr>
        <w:spacing w:after="160"/>
      </w:pPr>
      <w:r>
        <w:t xml:space="preserve">For CDC, we compare the </w:t>
      </w:r>
      <w:r>
        <w:rPr>
          <w:b/>
          <w:bCs/>
        </w:rPr>
        <w:t xml:space="preserve">same PK's</w:t>
      </w:r>
      <w:r>
        <w:t xml:space="preserve"> hash before vs after. The question is: "Did PK=5000's hash stay the same even though the data changed?" This is a </w:t>
      </w:r>
      <w:r>
        <w:rPr>
          <w:b/>
          <w:bCs/>
        </w:rPr>
        <w:t xml:space="preserve">second-preimage problem</w:t>
      </w:r>
      <w:r>
        <w:t xml:space="preserve"> with probability 1/2ᵇ per comparison — at SHA-256 (256 bits), this is 1 in 10⁷⁷. Running the pipeline daily for the age of the universe would not produce a single false negative.</w:t>
      </w:r>
    </w:p>
    <w:p>
      <w:pPr>
        <w:pStyle w:val="Heading3"/>
      </w:pPr>
      <w:r>
        <w:t xml:space="preserve">Global Uniqueness (reconciliation, dedup, surrogate keys)</w:t>
      </w:r>
    </w:p>
    <w:p>
      <w:pPr>
        <w:spacing w:after="160"/>
      </w:pPr>
      <w:r>
        <w:t xml:space="preserve">For operations that compare hashes </w:t>
      </w:r>
      <w:r>
        <w:rPr>
          <w:b/>
          <w:bCs/>
        </w:rPr>
        <w:t xml:space="preserve">across different PKs</w:t>
      </w:r>
      <w:r>
        <w:t xml:space="preserve"> — like reconciliation, deduplication, or hash-based joins — the </w:t>
      </w:r>
      <w:r>
        <w:rPr>
          <w:b/>
          <w:bCs/>
        </w:rPr>
        <w:t xml:space="preserve">birthday paradox</w:t>
      </w:r>
      <w:r>
        <w:t xml:space="preserve"> applies. At 3 billion rows with 64-bit hashes, there's a ~24% chance that two different rows share a hash. This is why the pipeline stores the </w:t>
      </w:r>
      <w:r>
        <w:rPr>
          <w:b/>
          <w:bCs/>
        </w:rPr>
        <w:t xml:space="preserve">full 256-bit SHA-256 as VARCHAR(64)</w:t>
      </w:r>
      <w:r>
        <w:t xml:space="preserve">, not a truncated 64-bit integer. At full 256-bit width, the birthday bound is safe up to ~9.2×10²⁵ rows — effectively infinite.</w:t>
      </w:r>
    </w:p>
    <w:p>
      <w:pPr>
        <w:pBdr>
          <w:left w:val="single" w:color="0D7377" w:sz="12" w:space="8"/>
        </w:pBdr>
        <w:spacing w:before="200" w:after="40"/>
        <w:ind w:left="200"/>
      </w:pPr>
      <w:r>
        <w:rPr>
          <w:rFonts w:ascii="Arial" w:cs="Arial" w:eastAsia="Arial" w:hAnsi="Arial"/>
          <w:b/>
          <w:bCs/>
          <w:color w:val="0D7377"/>
          <w:sz w:val="22"/>
          <w:szCs w:val="22"/>
        </w:rPr>
        <w:t xml:space="preserve">The Resolved Contradiction</w:t>
      </w:r>
    </w:p>
    <w:p>
      <w:pPr>
        <w:pBdr>
          <w:left w:val="single" w:color="0D7377" w:sz="12" w:space="8"/>
        </w:pBdr>
        <w:spacing w:after="200"/>
        <w:ind w:left="200"/>
      </w:pPr>
      <w:r>
        <w:rPr>
          <w:rFonts w:ascii="Arial" w:cs="Arial" w:eastAsia="Arial" w:hAnsi="Arial"/>
          <w:sz w:val="20"/>
          <w:szCs w:val="20"/>
        </w:rPr>
        <w:t xml:space="preserve">Two pipeline audits originally disagreed: one said 64-bit was safe for CDC (correct for per-key comparison), another said it was a showstopper (correct for global operations). Both were right within their scope. The resolution: upgrade to full SHA-256 everywhere, eliminating the need to reason about which model applies to which operation.</w:t>
      </w:r>
    </w:p>
    <w:p>
      <w:pPr>
        <w:pStyle w:val="Heading2"/>
      </w:pPr>
      <w:r>
        <w:t xml:space="preserve">2.3 Why Not MD5?</w:t>
      </w:r>
    </w:p>
    <w:p>
      <w:pPr>
        <w:spacing w:after="160"/>
      </w:pPr>
      <w:r>
        <w:t xml:space="preserve">MD5 is mathematically sufficient for CDC (128 bits provides ample safety margin). However, SHA-256 was chosen for three reasons:</w:t>
      </w:r>
    </w:p>
    <w:p>
      <w:pPr>
        <w:pStyle w:val="ListParagraph"/>
        <w:numPr>
          <w:ilvl w:val="0"/>
          <w:numId w:val="2"/>
        </w:numPr>
        <w:spacing w:after="80"/>
      </w:pPr>
      <w:r>
        <w:rPr>
          <w:b/>
          <w:bCs/>
        </w:rPr>
        <w:t xml:space="preserve">No cryptographic weakness concerns: </w:t>
      </w:r>
      <w:r>
        <w:t xml:space="preserve">MD5 has known collision attacks (chosen-prefix collisions). While these are irrelevant for data engineering (nobody is adversarially crafting row data), using a broken cryptographic algorithm invites audit questions and compliance friction.</w:t>
      </w:r>
    </w:p>
    <w:p>
      <w:pPr>
        <w:pStyle w:val="ListParagraph"/>
        <w:numPr>
          <w:ilvl w:val="0"/>
          <w:numId w:val="2"/>
        </w:numPr>
        <w:spacing w:after="80"/>
      </w:pPr>
      <w:r>
        <w:rPr>
          <w:b/>
          <w:bCs/>
        </w:rPr>
        <w:t xml:space="preserve">polars-hash native support: </w:t>
      </w:r>
      <w:r>
        <w:t xml:space="preserve">The polars-hash library provides SHA-256 as a first-class operation via the chash namespace with native Rust performance. There's no meaningful speed penalty over MD5 in this library.</w:t>
      </w:r>
    </w:p>
    <w:p>
      <w:pPr>
        <w:pStyle w:val="ListParagraph"/>
        <w:numPr>
          <w:ilvl w:val="0"/>
          <w:numId w:val="2"/>
        </w:numPr>
        <w:spacing w:after="80"/>
      </w:pPr>
      <w:r>
        <w:rPr>
          <w:b/>
          <w:bCs/>
        </w:rPr>
        <w:t xml:space="preserve">Future-proofing: </w:t>
      </w:r>
      <w:r>
        <w:t xml:space="preserve">If hashes are ever repurposed as surrogate keys, join keys, or exported to external systems, SHA-256 is universally accepted. MD5 would require re-hashing.</w:t>
      </w:r>
    </w:p>
    <w:p>
      <w:pPr>
        <w:pStyle w:val="Heading2"/>
      </w:pPr>
      <w:r>
        <w:t xml:space="preserve">2.4 Why Not a Non-Cryptographic Hash (xxHash, BLAKE3)?</w:t>
      </w:r>
    </w:p>
    <w:p>
      <w:pPr>
        <w:spacing w:after="160"/>
      </w:pPr>
      <w:r>
        <w:t xml:space="preserve">The pipeline currently uses SHA-256 via polars-hash, which is validated as correct and performant. Alternatives are documented as deferred evaluations:</w:t>
      </w:r>
    </w:p>
    <w:p>
      <w:pPr>
        <w:pStyle w:val="ListParagraph"/>
        <w:numPr>
          <w:ilvl w:val="0"/>
          <w:numId w:val="2"/>
        </w:numPr>
        <w:spacing w:after="80"/>
      </w:pPr>
      <w:r>
        <w:rPr>
          <w:b/>
          <w:bCs/>
        </w:rPr>
        <w:t xml:space="preserve">XXH3-128: </w:t>
      </w:r>
      <w:r>
        <w:t xml:space="preserve">~10× faster than SHA-256, 128-bit output. Would be safe for CDC and most operations. Deferred (W-18) because SHA-256 is not currently a bottleneck — extraction and BCP loading dominate pipeline runtime, not hashing.</w:t>
      </w:r>
    </w:p>
    <w:p>
      <w:pPr>
        <w:pStyle w:val="ListParagraph"/>
        <w:numPr>
          <w:ilvl w:val="0"/>
          <w:numId w:val="2"/>
        </w:numPr>
        <w:spacing w:after="80"/>
      </w:pPr>
      <w:r>
        <w:rPr>
          <w:b/>
          <w:bCs/>
        </w:rPr>
        <w:t xml:space="preserve">BLAKE3: </w:t>
      </w:r>
      <w:r>
        <w:t xml:space="preserve">~5× faster than SHA-256, 256-bit, cryptographically secure. The ideal theoretical replacement. Deferred because polars-hash doesn't yet support it natively, and introducing a separate dependency for hashing adds maintenance risk.</w:t>
      </w:r>
    </w:p>
    <w:p>
      <w:pPr>
        <w:spacing w:after="160"/>
      </w:pPr>
      <w:r>
        <w:rPr>
          <w:i/>
          <w:iCs/>
        </w:rPr>
        <w:t xml:space="preserve">Decision rule: </w:t>
      </w:r>
      <w:r>
        <w:t xml:space="preserve">Only pursue hash algorithm changes if hashing becomes &gt;10% of total pipeline runtime. Current profiling shows hashing at &lt;3% of wall time for typical tables.</w:t>
      </w:r>
    </w:p>
    <w:p>
      <w:pPr>
        <w:pStyle w:val="Heading2"/>
      </w:pPr>
      <w:r>
        <w:t xml:space="preserve">2.5 Pre-Hash Normalizations — Where the Real Risks Live</w:t>
      </w:r>
    </w:p>
    <w:p>
      <w:pPr>
        <w:spacing w:after="160"/>
      </w:pPr>
      <w:r>
        <w:t xml:space="preserve">The hash algorithm itself is the easy part. The hard part is ensuring the same logical data produces the same bytes before hashing, across Oracle and SQL Server with their different type systems and string handling. The pipeline implements four normalizations that go beyond any published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Normalization</w:t>
            </w:r>
          </w:p>
        </w:tc>
        <w:tc>
          <w:tcPr>
            <w:tcW w:type="dxa" w:w="38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 Without It</w:t>
            </w:r>
          </w:p>
        </w:tc>
        <w:tc>
          <w:tcPr>
            <w:tcW w:type="dxa" w:w="38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 empty string → NULL (E-1)</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 treats '' as NULL; SQL Server does not. Every Oracle-sourced row with empty string fields would generate phantom UPDATEs on every run — indefinitely.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add_row_hash(source_is_oracle=True) normalizes empty strings to NULL before hashing. Phantom updates: eliminated.</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Unicode NFC (V-2)</w:t>
            </w:r>
          </w:p>
        </w:tc>
        <w:tc>
          <w:tcPr>
            <w:tcW w:type="dxa" w:w="388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The character ñ can be stored as U+00F1 (precomposed) or U+006E + U+0303 (decomposed). Different bytes, same visual character. Hash sees them as different.</w:t>
            </w:r>
          </w:p>
        </w:tc>
        <w:tc>
          <w:tcPr>
            <w:tcW w:type="dxa" w:w="388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All string columns are NFC-normalized before hashing. NFC is the W3C standard and Windows keyboard default. Idempotent: normalizing already-NFC text is a no-op.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rounding (V-1/W-3)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754: +0.0 and -0.0 are semantically equal but have different bit patterns. NaN has multiple representations. Cross-platform float precision varies.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Floats rounded to 10 decimal places. ±0.0 → +0.0. NaN/Infinity mapped to consistent sentinels wrapped in \x1F delimiters.</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Trailing space RTRIM (E-4)</w:t>
            </w:r>
          </w:p>
        </w:tc>
        <w:tc>
          <w:tcPr>
            <w:tcW w:type="dxa" w:w="388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Oracle CHAR columns are blank-padded to declared length. SQL Server ANSI padding treats 'abc' = 'abc   ' but hash sees different bytes.</w:t>
            </w:r>
          </w:p>
        </w:tc>
        <w:tc>
          <w:tcPr>
            <w:tcW w:type="dxa" w:w="388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All string columns are RTRIM'd before hashing. Applied after NFC normalization and Oracle empty-string normalization.</w:t>
            </w:r>
          </w:p>
        </w:tc>
      </w:tr>
    </w:tbl>
    <w:p>
      <w:pPr>
        <w:pStyle w:val="Heading2"/>
      </w:pPr>
      <w:r>
        <w:t xml:space="preserve">2.6 Additional Hash Safety Mechanisms</w:t>
      </w:r>
    </w:p>
    <w:p>
      <w:pPr>
        <w:pStyle w:val="ListParagraph"/>
        <w:numPr>
          <w:ilvl w:val="0"/>
          <w:numId w:val="2"/>
        </w:numPr>
        <w:spacing w:after="80"/>
      </w:pPr>
      <w:r>
        <w:rPr>
          <w:b/>
          <w:bCs/>
        </w:rPr>
        <w:t xml:space="preserve">Column separator \x1F (P0-6, E-19): </w:t>
      </w:r>
      <w:r>
        <w:t xml:space="preserve">Unit Separator character between columns prevents cross-column collisions. Without it, ("AB", "CD") and ("A", "BCD") would produce the identical concatenation "ABCD" and therefore the same hash.</w:t>
      </w:r>
    </w:p>
    <w:p>
      <w:pPr>
        <w:pStyle w:val="ListParagraph"/>
        <w:numPr>
          <w:ilvl w:val="0"/>
          <w:numId w:val="2"/>
        </w:numPr>
        <w:spacing w:after="80"/>
      </w:pPr>
      <w:r>
        <w:rPr>
          <w:b/>
          <w:bCs/>
        </w:rPr>
        <w:t xml:space="preserve">NULL sentinel \x1FNULL\x1F (W-2): </w:t>
      </w:r>
      <w:r>
        <w:t xml:space="preserve">Distinguishes NULL from the literal string "NULL" and from empty string. The \x1F wrapper prevents the sentinel from ever colliding with real data.</w:t>
      </w:r>
    </w:p>
    <w:p>
      <w:pPr>
        <w:pStyle w:val="ListParagraph"/>
        <w:numPr>
          <w:ilvl w:val="0"/>
          <w:numId w:val="2"/>
        </w:numPr>
        <w:spacing w:after="80"/>
      </w:pPr>
      <w:r>
        <w:rPr>
          <w:b/>
          <w:bCs/>
        </w:rPr>
        <w:t xml:space="preserve">Categorical column detection (E-20): </w:t>
      </w:r>
      <w:r>
        <w:t xml:space="preserve">polars-hash hashes the physical integer encoding of Categorical columns, not the string value. The pipeline detects Categoricals and casts to Utf8 first, ensuring the hash reflects the logical data.</w:t>
      </w:r>
    </w:p>
    <w:p>
      <w:pPr>
        <w:pStyle w:val="ListParagraph"/>
        <w:numPr>
          <w:ilvl w:val="0"/>
          <w:numId w:val="2"/>
        </w:numPr>
        <w:spacing w:after="80"/>
      </w:pPr>
      <w:r>
        <w:rPr>
          <w:b/>
          <w:bCs/>
        </w:rPr>
        <w:t xml:space="preserve">Null byte stripping (W-2): </w:t>
      </w:r>
      <w:r>
        <w:t xml:space="preserve">\x00 characters are replaced before hashing. Null bytes risk C-string truncation in FFI and logging layers, which could silently shorten the hash input.</w:t>
      </w:r>
    </w:p>
    <w:p>
      <w:pPr>
        <w:pBdr>
          <w:left w:val="single" w:color="0D7377" w:sz="12" w:space="8"/>
        </w:pBdr>
        <w:spacing w:before="200" w:after="40"/>
        <w:ind w:left="200"/>
      </w:pPr>
      <w:r>
        <w:rPr>
          <w:rFonts w:ascii="Arial" w:cs="Arial" w:eastAsia="Arial" w:hAnsi="Arial"/>
          <w:b/>
          <w:bCs/>
          <w:color w:val="0D7377"/>
          <w:sz w:val="22"/>
          <w:szCs w:val="22"/>
        </w:rPr>
        <w:t xml:space="preserve">The Hash Equation</w:t>
      </w:r>
    </w:p>
    <w:p>
      <w:pPr>
        <w:pBdr>
          <w:left w:val="single" w:color="0D7377" w:sz="12" w:space="8"/>
        </w:pBdr>
        <w:spacing w:after="200"/>
        <w:ind w:left="200"/>
      </w:pPr>
      <w:r>
        <w:rPr>
          <w:rFonts w:ascii="Arial" w:cs="Arial" w:eastAsia="Arial" w:hAnsi="Arial"/>
          <w:sz w:val="20"/>
          <w:szCs w:val="20"/>
        </w:rPr>
        <w:t xml:space="preserve">Correct hash = correct normalization + correct delimiter + correct sentinel + correct algorithm + correct bit width. Getting any one of these wrong produces phantom changes (false positives) or missed changes (false negatives) at scale. This pipeline addresses all five.</w:t>
      </w:r>
    </w:p>
    <w:p>
      <w:r>
        <w:br w:type="page"/>
      </w:r>
    </w:p>
    <w:p>
      <w:pPr>
        <w:pStyle w:val="Heading1"/>
      </w:pPr>
      <w:r>
        <w:t xml:space="preserve">3. How We Verify Correctness</w:t>
      </w:r>
    </w:p>
    <w:p>
      <w:pPr>
        <w:spacing w:after="160"/>
      </w:pPr>
      <w:r>
        <w:t xml:space="preserve">Idempotency and correct hashing are necessary but not sufficient. The pipeline includes a multi-layered reconciliation strategy that deliberately uses different methods than integration to catch any class of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1800"/>
        <w:gridCol w:w="1560"/>
      </w:tblGrid>
      <w:tr>
        <w:tc>
          <w:tcPr>
            <w:tcW w:type="dxa" w:w="1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6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Catches</w:t>
            </w:r>
          </w:p>
        </w:tc>
        <w:tc>
          <w:tcPr>
            <w:tcW w:type="dxa" w:w="1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validation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run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inserts + updates + unchanged = total source PKs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data loss, math errors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zero</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SCD2 integrity</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Every run</w:t>
            </w:r>
          </w:p>
        </w:tc>
        <w:tc>
          <w:tcPr>
            <w:tcW w:type="dxa" w:w="2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4 checks: overlapping intervals, zero-active PKs, duplicate actives, version gaps</w:t>
            </w:r>
          </w:p>
        </w:tc>
        <w:tc>
          <w:tcPr>
            <w:tcW w:type="dxa" w:w="1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Crash artifacts, logic bugs</w:t>
            </w:r>
          </w:p>
        </w:tc>
        <w:tc>
          <w:tcPr>
            <w:tcW w:type="dxa" w:w="1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count recon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vs Stage vs Bronze row counts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Drift, mass deletes, load failures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Weekly full recon</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Weekly</w:t>
            </w:r>
          </w:p>
        </w:tc>
        <w:tc>
          <w:tcPr>
            <w:tcW w:type="dxa" w:w="2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Column-by-column comparison (NOT hash-based)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Hash collisions, CDC logic bugs, encoding errors</w:t>
            </w:r>
          </w:p>
        </w:tc>
        <w:tc>
          <w:tcPr>
            <w:tcW w:type="dxa" w:w="15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 recon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current vs Bronze active: hash mismatches, orphans, missing rows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SCD2 promotion bugs, crash residue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160"/>
      </w:pPr>
      <w:r>
        <w:rPr>
          <w:i/>
          <w:iCs/>
        </w:rPr>
        <w:t xml:space="preserve">Critical design choice: </w:t>
      </w:r>
      <w:r>
        <w:t xml:space="preserve">The weekly reconciliation deliberately uses column-by-column comparison, NOT hash comparison. This means a bug in the hashing logic cannot hide from reconciliation — the verification method is independent of the integration method.</w:t>
      </w:r>
    </w:p>
    <w:p>
      <w:pPr>
        <w:pStyle w:val="Heading1"/>
      </w:pPr>
      <w:r>
        <w:t xml:space="preserve">4. Summary</w:t>
      </w:r>
    </w:p>
    <w:p>
      <w:pPr>
        <w:spacing w:after="160"/>
      </w:pPr>
      <w:r>
        <w:t xml:space="preserve">The pipeline achieves idempotency through a combination of deterministic computation (hash-based CDC), crash-safe ordering (INSERT-first SCD2), automatic recovery mechanisms (orphan cleanup, dedup recovery, checkpointing), and concurrency protection (sp_getapplock). SHA-256 was chosen as the hashing algorithm because it provides safety at any practical scale across both per-key and global collision models, with pre-hash normalizations that account for every known cross-platform data representation difference between Oracle and SQL Server.</w:t>
      </w:r>
    </w:p>
    <w:p>
      <w:pPr>
        <w:spacing w:after="160"/>
      </w:pPr>
      <w:r>
        <w:t xml:space="preserve">The key insight across both topics: </w:t>
      </w:r>
      <w:r>
        <w:rPr>
          <w:b/>
          <w:bCs/>
        </w:rPr>
        <w:t xml:space="preserve">defense-in-depth matters more than any single mechanism.</w:t>
      </w:r>
      <w:r>
        <w:t xml:space="preserve"> No individual safeguard is sufficient alone. The combination of idempotent operations, automatic recovery, independent verification, and deterministic hashing creates a system where failures are detected and corrected, not silently propagated.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pPr>
    <w:r>
      <w:rPr>
        <w:rFonts w:ascii="Arial" w:cs="Arial" w:eastAsia="Arial" w:hAnsi="Arial"/>
        <w:color w:val="64748B"/>
        <w:sz w:val="18"/>
        <w:szCs w:val="18"/>
      </w:rPr>
      <w:t xml:space="preserve">UDM Pipeline — Supporting Technical Document</w:t>
    </w:r>
    <w:r>
      <w:rPr>
        <w:rFonts w:ascii="Arial" w:cs="Arial" w:eastAsia="Arial" w:hAnsi="Arial"/>
        <w:color w:val="64748B"/>
        <w:sz w:val="18"/>
        <w:szCs w:val="18"/>
      </w:rPr>
      <w:ptab w:alignment="right" w:relativeTo="margin" w:leader="none"/>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737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2026-03-04T20:45:10.529Z</dcterms:created>
  <dcterms:modified xsi:type="dcterms:W3CDTF">2026-03-04T20:45:10.530Z</dcterms:modified>
</cp:coreProperties>
</file>

<file path=docProps/custom.xml><?xml version="1.0" encoding="utf-8"?>
<Properties xmlns="http://schemas.openxmlformats.org/officeDocument/2006/custom-properties" xmlns:vt="http://schemas.openxmlformats.org/officeDocument/2006/docPropsVTypes"/>
</file>