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88" w:before="240" w:after="0"/>
        <w:ind w:firstLine="0"/>
        <w:jc w:val="center"/>
      </w:pPr>
      <w:r>
        <w:rPr>
          <w:rFonts w:ascii="Times New Roman" w:hAnsi="Times New Roman" w:eastAsia="黑体" w:cs="Times New Roman"/>
          <w:b/>
          <w:i w:val="0"/>
          <w:sz w:val="44"/>
        </w:rPr>
        <w:t>南 京 师 范 大 学</w:t>
      </w:r>
    </w:p>
    <w:p>
      <w:pPr>
        <w:spacing w:lineRule="auto" w:line="288" w:before="200" w:after="0"/>
        <w:ind w:firstLine="0"/>
        <w:jc w:val="center"/>
      </w:pPr>
      <w:r>
        <w:rPr>
          <w:rFonts w:ascii="Times New Roman" w:hAnsi="Times New Roman" w:eastAsia="黑体" w:cs="Times New Roman"/>
          <w:b/>
          <w:i w:val="0"/>
          <w:sz w:val="32"/>
        </w:rPr>
        <w:t>研 究 生 课 程 学 习 考 试 成 绩 单</w:t>
      </w:r>
    </w:p>
    <w:p>
      <w:pPr>
        <w:spacing w:lineRule="auto" w:line="288" w:before="80" w:after="200"/>
        <w:ind w:firstLine="0"/>
        <w:jc w:val="center"/>
      </w:pPr>
      <w:r>
        <w:rPr>
          <w:rFonts w:ascii="Times New Roman" w:hAnsi="Times New Roman" w:eastAsia="黑体" w:cs="Times New Roman"/>
          <w:b/>
          <w:i w:val="0"/>
          <w:sz w:val="28"/>
        </w:rPr>
        <w:t>（试卷封面）</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4"/>
        <w:gridCol w:w="1504"/>
        <w:gridCol w:w="1504"/>
        <w:gridCol w:w="1504"/>
        <w:gridCol w:w="1504"/>
        <w:gridCol w:w="1504"/>
      </w:tblGrid>
      <w:tr>
        <w:trPr>
          <w:cantSplit/>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1"/>
              </w:rPr>
              <w:t>学  院</w:t>
            </w:r>
          </w:p>
        </w:tc>
        <w:tc>
          <w:tcPr>
            <w:tcW w:type="dxa" w:w="2268"/>
            <w:vAlign w:val="center"/>
          </w:tcPr>
          <w:p>
            <w:pPr>
              <w:spacing w:before="80" w:after="80" w:line="276" w:lineRule="auto"/>
              <w:jc w:val="center"/>
            </w:pPr>
            <w:r/>
            <w:r>
              <w:rPr>
                <w:rFonts w:ascii="Times New Roman" w:hAnsi="Times New Roman" w:eastAsia="宋体" w:cs="Times New Roman"/>
                <w:b w:val="0"/>
                <w:i w:val="0"/>
                <w:sz w:val="22"/>
              </w:rPr>
              <w:t>地理科学学院</w:t>
            </w:r>
          </w:p>
        </w:tc>
        <w:tc>
          <w:tcPr>
            <w:tcW w:type="dxa" w:w="1247"/>
            <w:shd w:fill="F4F4F4" w:val="clear"/>
            <w:vAlign w:val="center"/>
          </w:tcPr>
          <w:p>
            <w:pPr>
              <w:spacing w:before="80" w:after="80" w:line="276" w:lineRule="auto"/>
              <w:jc w:val="center"/>
            </w:pPr>
            <w:r/>
            <w:r>
              <w:rPr>
                <w:rFonts w:ascii="Times New Roman" w:hAnsi="Times New Roman" w:eastAsia="黑体" w:cs="Times New Roman"/>
                <w:b/>
                <w:i w:val="0"/>
                <w:sz w:val="21"/>
              </w:rPr>
              <w:t>专 业</w:t>
            </w:r>
          </w:p>
        </w:tc>
        <w:tc>
          <w:tcPr>
            <w:tcW w:type="dxa" w:w="4081"/>
            <w:gridSpan w:val="3"/>
            <w:vAlign w:val="center"/>
          </w:tcPr>
          <w:p>
            <w:pPr>
              <w:spacing w:before="80" w:after="80" w:line="276" w:lineRule="auto"/>
              <w:jc w:val="center"/>
            </w:pPr>
            <w:r/>
            <w:r>
              <w:rPr>
                <w:rFonts w:ascii="Times New Roman" w:hAnsi="Times New Roman" w:eastAsia="宋体" w:cs="Times New Roman"/>
                <w:b w:val="0"/>
                <w:i w:val="0"/>
                <w:sz w:val="22"/>
              </w:rPr>
              <w:t>地图学与地理信息系统</w:t>
            </w:r>
          </w:p>
        </w:tc>
      </w:tr>
      <w:tr>
        <w:trPr>
          <w:cantSplit/>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0"/>
              </w:rPr>
              <w:t>研究生姓名</w:t>
            </w:r>
          </w:p>
        </w:tc>
        <w:tc>
          <w:tcPr>
            <w:tcW w:type="dxa" w:w="2268"/>
            <w:vAlign w:val="center"/>
          </w:tcPr>
          <w:p>
            <w:pPr>
              <w:spacing w:before="80" w:after="80" w:line="276" w:lineRule="auto"/>
              <w:jc w:val="center"/>
            </w:pPr>
            <w:r/>
            <w:r>
              <w:rPr>
                <w:rFonts w:ascii="Times New Roman" w:hAnsi="Times New Roman" w:eastAsia="楷体" w:cs="Times New Roman"/>
                <w:b w:val="0"/>
                <w:i w:val="0"/>
                <w:sz w:val="22"/>
              </w:rPr>
              <w:t>【请填写】</w:t>
            </w:r>
          </w:p>
        </w:tc>
        <w:tc>
          <w:tcPr>
            <w:tcW w:type="dxa" w:w="1247"/>
            <w:shd w:fill="F4F4F4" w:val="clear"/>
            <w:vAlign w:val="center"/>
          </w:tcPr>
          <w:p>
            <w:pPr>
              <w:spacing w:before="80" w:after="80" w:line="276" w:lineRule="auto"/>
              <w:jc w:val="center"/>
            </w:pPr>
            <w:r/>
            <w:r>
              <w:rPr>
                <w:rFonts w:ascii="Times New Roman" w:hAnsi="Times New Roman" w:eastAsia="黑体" w:cs="Times New Roman"/>
                <w:b/>
                <w:i w:val="0"/>
                <w:sz w:val="21"/>
              </w:rPr>
              <w:t>学 号</w:t>
            </w:r>
          </w:p>
        </w:tc>
        <w:tc>
          <w:tcPr>
            <w:tcW w:type="dxa" w:w="4081"/>
            <w:gridSpan w:val="3"/>
            <w:vAlign w:val="center"/>
          </w:tcPr>
          <w:p>
            <w:pPr>
              <w:spacing w:before="80" w:after="80" w:line="276" w:lineRule="auto"/>
              <w:jc w:val="center"/>
            </w:pPr>
            <w:r/>
            <w:r>
              <w:rPr>
                <w:rFonts w:ascii="Times New Roman" w:hAnsi="Times New Roman" w:eastAsia="楷体" w:cs="Times New Roman"/>
                <w:b w:val="0"/>
                <w:i w:val="0"/>
                <w:sz w:val="22"/>
              </w:rPr>
              <w:t>【请填写】</w:t>
            </w:r>
          </w:p>
        </w:tc>
      </w:tr>
      <w:tr>
        <w:trPr>
          <w:cantSplit/>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0"/>
              </w:rPr>
              <w:t>课 程 名 称</w:t>
            </w:r>
          </w:p>
        </w:tc>
        <w:tc>
          <w:tcPr>
            <w:tcW w:type="dxa" w:w="7596"/>
            <w:gridSpan w:val="5"/>
            <w:vAlign w:val="center"/>
          </w:tcPr>
          <w:p>
            <w:pPr>
              <w:spacing w:before="80" w:after="80" w:line="276" w:lineRule="auto"/>
              <w:jc w:val="center"/>
            </w:pPr>
            <w:r/>
            <w:r>
              <w:rPr>
                <w:rFonts w:ascii="Times New Roman" w:hAnsi="Times New Roman" w:eastAsia="宋体" w:cs="Times New Roman"/>
                <w:b/>
                <w:i w:val="0"/>
                <w:sz w:val="24"/>
              </w:rPr>
              <w:t>学术交流活动</w:t>
            </w:r>
          </w:p>
        </w:tc>
      </w:tr>
      <w:tr>
        <w:trPr>
          <w:cantSplit/>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0"/>
              </w:rPr>
              <w:t>授 课 时 间</w:t>
            </w:r>
          </w:p>
        </w:tc>
        <w:tc>
          <w:tcPr>
            <w:tcW w:type="dxa" w:w="2268"/>
            <w:vAlign w:val="center"/>
          </w:tcPr>
          <w:p>
            <w:pPr>
              <w:spacing w:before="20" w:after="20"/>
              <w:jc w:val="center"/>
            </w:pPr>
            <w:r/>
            <w:r>
              <w:rPr>
                <w:rFonts w:ascii="Times New Roman" w:hAnsi="Times New Roman" w:eastAsia="宋体" w:cs="Times New Roman"/>
                <w:b w:val="0"/>
                <w:i w:val="0"/>
                <w:sz w:val="21"/>
              </w:rPr>
              <w:t>2025-2026学年度</w:t>
            </w:r>
          </w:p>
          <w:p>
            <w:pPr>
              <w:spacing w:before="20" w:after="20"/>
              <w:jc w:val="center"/>
            </w:pPr>
            <w:r>
              <w:rPr>
                <w:rFonts w:ascii="Times New Roman" w:hAnsi="Times New Roman" w:eastAsia="宋体" w:cs="Times New Roman"/>
                <w:b w:val="0"/>
                <w:i w:val="0"/>
                <w:sz w:val="21"/>
              </w:rPr>
              <w:t>第二学期</w:t>
            </w:r>
          </w:p>
        </w:tc>
        <w:tc>
          <w:tcPr>
            <w:tcW w:type="dxa" w:w="1247"/>
            <w:shd w:fill="F4F4F4" w:val="clear"/>
            <w:vAlign w:val="center"/>
          </w:tcPr>
          <w:p>
            <w:pPr>
              <w:spacing w:before="80" w:after="80" w:line="276" w:lineRule="auto"/>
              <w:jc w:val="center"/>
            </w:pPr>
            <w:r/>
            <w:r>
              <w:rPr>
                <w:rFonts w:ascii="Times New Roman" w:hAnsi="Times New Roman" w:eastAsia="黑体" w:cs="Times New Roman"/>
                <w:b/>
                <w:i w:val="0"/>
                <w:sz w:val="20"/>
              </w:rPr>
              <w:t>周学时</w:t>
            </w:r>
          </w:p>
        </w:tc>
        <w:tc>
          <w:tcPr>
            <w:tcW w:type="dxa" w:w="1814"/>
            <w:vAlign w:val="center"/>
          </w:tcPr>
          <w:p>
            <w:pPr>
              <w:spacing w:before="80" w:after="80" w:line="276" w:lineRule="auto"/>
              <w:jc w:val="center"/>
            </w:pPr>
            <w:r/>
            <w:r>
              <w:rPr>
                <w:rFonts w:ascii="Times New Roman" w:hAnsi="Times New Roman" w:eastAsia="宋体" w:cs="Times New Roman"/>
                <w:b w:val="0"/>
                <w:i w:val="0"/>
                <w:sz w:val="22"/>
              </w:rPr>
              <w:t>1</w:t>
            </w:r>
          </w:p>
        </w:tc>
        <w:tc>
          <w:tcPr>
            <w:tcW w:type="dxa" w:w="1020"/>
            <w:shd w:fill="F4F4F4" w:val="clear"/>
            <w:vAlign w:val="center"/>
          </w:tcPr>
          <w:p>
            <w:pPr>
              <w:spacing w:before="80" w:after="80" w:line="276" w:lineRule="auto"/>
              <w:jc w:val="center"/>
            </w:pPr>
            <w:r/>
            <w:r>
              <w:rPr>
                <w:rFonts w:ascii="Times New Roman" w:hAnsi="Times New Roman" w:eastAsia="黑体" w:cs="Times New Roman"/>
                <w:b/>
                <w:i w:val="0"/>
                <w:sz w:val="20"/>
              </w:rPr>
              <w:t>学 分</w:t>
            </w:r>
          </w:p>
        </w:tc>
        <w:tc>
          <w:tcPr>
            <w:tcW w:type="dxa" w:w="1247"/>
            <w:vAlign w:val="center"/>
          </w:tcPr>
          <w:p>
            <w:pPr>
              <w:spacing w:before="80" w:after="80" w:line="276" w:lineRule="auto"/>
              <w:jc w:val="center"/>
            </w:pPr>
            <w:r/>
            <w:r>
              <w:rPr>
                <w:rFonts w:ascii="Times New Roman" w:hAnsi="Times New Roman" w:eastAsia="宋体" w:cs="Times New Roman"/>
                <w:b w:val="0"/>
                <w:i w:val="0"/>
                <w:sz w:val="22"/>
              </w:rPr>
              <w:t>1</w:t>
            </w:r>
          </w:p>
        </w:tc>
      </w:tr>
      <w:tr>
        <w:trPr>
          <w:cantSplit/>
          <w:trHeight w:val="1361"/>
        </w:trPr>
        <w:tc>
          <w:tcPr>
            <w:tcW w:type="dxa" w:w="1474"/>
            <w:shd w:fill="F4F4F4" w:val="clear"/>
            <w:vAlign w:val="center"/>
          </w:tcPr>
          <w:p>
            <w:pPr>
              <w:spacing w:before="20" w:after="20"/>
              <w:jc w:val="center"/>
            </w:pPr>
            <w:r/>
            <w:r>
              <w:rPr>
                <w:rFonts w:ascii="Times New Roman" w:hAnsi="Times New Roman" w:eastAsia="黑体" w:cs="Times New Roman"/>
                <w:b/>
                <w:i w:val="0"/>
                <w:sz w:val="21"/>
              </w:rPr>
              <w:t>简</w:t>
            </w:r>
          </w:p>
          <w:p>
            <w:pPr>
              <w:spacing w:before="20" w:after="20"/>
              <w:jc w:val="center"/>
            </w:pPr>
            <w:r>
              <w:rPr>
                <w:rFonts w:ascii="Times New Roman" w:hAnsi="Times New Roman" w:eastAsia="黑体" w:cs="Times New Roman"/>
                <w:b/>
                <w:i w:val="0"/>
                <w:sz w:val="21"/>
              </w:rPr>
              <w:t>要</w:t>
            </w:r>
          </w:p>
          <w:p>
            <w:pPr>
              <w:spacing w:before="20" w:after="20"/>
              <w:jc w:val="center"/>
            </w:pPr>
            <w:r>
              <w:rPr>
                <w:rFonts w:ascii="Times New Roman" w:hAnsi="Times New Roman" w:eastAsia="黑体" w:cs="Times New Roman"/>
                <w:b/>
                <w:i w:val="0"/>
                <w:sz w:val="21"/>
              </w:rPr>
              <w:t>评</w:t>
            </w:r>
          </w:p>
          <w:p>
            <w:pPr>
              <w:spacing w:before="20" w:after="20"/>
              <w:jc w:val="center"/>
            </w:pPr>
            <w:r>
              <w:rPr>
                <w:rFonts w:ascii="Times New Roman" w:hAnsi="Times New Roman" w:eastAsia="黑体" w:cs="Times New Roman"/>
                <w:b/>
                <w:i w:val="0"/>
                <w:sz w:val="21"/>
              </w:rPr>
              <w:t>语</w:t>
            </w:r>
          </w:p>
        </w:tc>
        <w:tc>
          <w:tcPr>
            <w:tcW w:type="dxa" w:w="7596"/>
            <w:gridSpan w:val="5"/>
            <w:vAlign w:val="center"/>
          </w:tcPr>
          <w:p>
            <w:pPr>
              <w:spacing w:before="80" w:after="80" w:line="276" w:lineRule="auto"/>
              <w:jc w:val="center"/>
            </w:pPr>
            <w:r/>
            <w:r>
              <w:rPr>
                <w:rFonts w:ascii="Times New Roman" w:hAnsi="Times New Roman" w:eastAsia="宋体" w:cs="Times New Roman"/>
                <w:b w:val="0"/>
                <w:i w:val="0"/>
                <w:sz w:val="21"/>
              </w:rPr>
            </w:r>
          </w:p>
        </w:tc>
      </w:tr>
      <w:tr>
        <w:trPr>
          <w:cantSplit/>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0"/>
              </w:rPr>
              <w:t>考 核 论 题</w:t>
            </w:r>
          </w:p>
        </w:tc>
        <w:tc>
          <w:tcPr>
            <w:tcW w:type="dxa" w:w="7596"/>
            <w:gridSpan w:val="5"/>
            <w:vAlign w:val="center"/>
          </w:tcPr>
          <w:p>
            <w:pPr>
              <w:spacing w:before="80" w:after="80" w:line="276" w:lineRule="auto"/>
              <w:jc w:val="center"/>
            </w:pPr>
            <w:r/>
            <w:r>
              <w:rPr>
                <w:rFonts w:ascii="Times New Roman" w:hAnsi="Times New Roman" w:eastAsia="宋体" w:cs="Times New Roman"/>
                <w:b w:val="0"/>
                <w:i w:val="0"/>
                <w:sz w:val="22"/>
              </w:rPr>
              <w:t>学术交流活动报告</w:t>
            </w:r>
          </w:p>
        </w:tc>
      </w:tr>
      <w:tr>
        <w:trPr>
          <w:cantSplit/>
          <w:trHeight w:val="794"/>
        </w:trPr>
        <w:tc>
          <w:tcPr>
            <w:tcW w:type="dxa" w:w="1474"/>
            <w:shd w:fill="F4F4F4" w:val="clear"/>
            <w:vAlign w:val="center"/>
          </w:tcPr>
          <w:p>
            <w:pPr>
              <w:spacing w:before="20" w:after="20"/>
              <w:jc w:val="center"/>
            </w:pPr>
            <w:r/>
            <w:r>
              <w:rPr>
                <w:rFonts w:ascii="Times New Roman" w:hAnsi="Times New Roman" w:eastAsia="黑体" w:cs="Times New Roman"/>
                <w:b/>
                <w:i w:val="0"/>
                <w:sz w:val="18"/>
              </w:rPr>
              <w:t>总评成绩</w:t>
            </w:r>
          </w:p>
          <w:p>
            <w:pPr>
              <w:spacing w:before="20" w:after="20"/>
              <w:jc w:val="center"/>
            </w:pPr>
            <w:r>
              <w:rPr>
                <w:rFonts w:ascii="Times New Roman" w:hAnsi="Times New Roman" w:eastAsia="黑体" w:cs="Times New Roman"/>
                <w:b/>
                <w:i w:val="0"/>
                <w:sz w:val="18"/>
              </w:rPr>
              <w:t>（含平时成绩）</w:t>
            </w:r>
          </w:p>
        </w:tc>
        <w:tc>
          <w:tcPr>
            <w:tcW w:type="dxa" w:w="7596"/>
            <w:gridSpan w:val="5"/>
            <w:vAlign w:val="center"/>
          </w:tcPr>
          <w:p>
            <w:pPr>
              <w:spacing w:before="80" w:after="80" w:line="276" w:lineRule="auto"/>
              <w:jc w:val="center"/>
            </w:pPr>
            <w:r/>
            <w:r>
              <w:rPr>
                <w:rFonts w:ascii="Times New Roman" w:hAnsi="Times New Roman" w:eastAsia="宋体" w:cs="Times New Roman"/>
                <w:b w:val="0"/>
                <w:i w:val="0"/>
                <w:sz w:val="21"/>
              </w:rPr>
            </w:r>
          </w:p>
        </w:tc>
      </w:tr>
      <w:tr>
        <w:trPr>
          <w:cantSplit/>
          <w:trHeight w:val="680"/>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1"/>
              </w:rPr>
              <w:t>备  注</w:t>
            </w:r>
          </w:p>
        </w:tc>
        <w:tc>
          <w:tcPr>
            <w:tcW w:type="dxa" w:w="7596"/>
            <w:gridSpan w:val="5"/>
            <w:vAlign w:val="center"/>
          </w:tcPr>
          <w:p>
            <w:pPr>
              <w:spacing w:before="80" w:after="80" w:line="276" w:lineRule="auto"/>
              <w:jc w:val="center"/>
            </w:pPr>
            <w:r/>
            <w:r>
              <w:rPr>
                <w:rFonts w:ascii="Times New Roman" w:hAnsi="Times New Roman" w:eastAsia="宋体" w:cs="Times New Roman"/>
                <w:b w:val="0"/>
                <w:i w:val="0"/>
                <w:sz w:val="21"/>
              </w:rPr>
            </w:r>
          </w:p>
        </w:tc>
      </w:tr>
    </w:tbl>
    <w:p>
      <w:pPr>
        <w:spacing w:lineRule="auto" w:line="360" w:before="320" w:after="0"/>
        <w:ind w:firstLine="0"/>
        <w:jc w:val="left"/>
      </w:pPr>
      <w:r>
        <w:rPr>
          <w:rFonts w:ascii="Times New Roman" w:hAnsi="Times New Roman" w:eastAsia="黑体" w:cs="Times New Roman"/>
          <w:b/>
          <w:i w:val="0"/>
          <w:sz w:val="24"/>
        </w:rPr>
        <w:t>任课教师签名：</w:t>
      </w:r>
    </w:p>
    <w:p>
      <w:pPr>
        <w:spacing w:lineRule="auto" w:line="360" w:before="160" w:after="120"/>
        <w:ind w:firstLine="0"/>
        <w:jc w:val="left"/>
      </w:pPr>
      <w:r>
        <w:rPr>
          <w:rFonts w:ascii="Times New Roman" w:hAnsi="Times New Roman" w:eastAsia="黑体" w:cs="Times New Roman"/>
          <w:b/>
          <w:i w:val="0"/>
          <w:sz w:val="24"/>
        </w:rPr>
        <w:t>批 改 日 期：</w:t>
      </w:r>
    </w:p>
    <w:p>
      <w:pPr>
        <w:spacing w:lineRule="auto" w:line="300" w:before="160" w:after="0"/>
        <w:ind w:firstLine="0"/>
        <w:jc w:val="left"/>
      </w:pPr>
      <w:r>
        <w:rPr>
          <w:rFonts w:ascii="Times New Roman" w:hAnsi="Times New Roman" w:eastAsia="宋体" w:cs="Times New Roman"/>
          <w:b/>
          <w:i w:val="0"/>
          <w:sz w:val="21"/>
        </w:rPr>
        <w:t>注：</w:t>
      </w:r>
    </w:p>
    <w:p>
      <w:pPr>
        <w:spacing w:lineRule="auto" w:line="300" w:before="40" w:after="0"/>
        <w:ind w:firstLine="0"/>
        <w:jc w:val="left"/>
      </w:pPr>
      <w:r>
        <w:rPr>
          <w:rFonts w:ascii="Times New Roman" w:hAnsi="Times New Roman" w:eastAsia="宋体" w:cs="Times New Roman"/>
          <w:b w:val="0"/>
          <w:i w:val="0"/>
          <w:sz w:val="21"/>
        </w:rPr>
        <w:t>1、以撰写论文为考核形式的，填写此表，综合考试不填；</w:t>
      </w:r>
    </w:p>
    <w:p>
      <w:pPr>
        <w:spacing w:lineRule="auto" w:line="300" w:before="40" w:after="0"/>
        <w:ind w:firstLine="0"/>
        <w:jc w:val="left"/>
      </w:pPr>
      <w:r>
        <w:rPr>
          <w:rFonts w:ascii="Times New Roman" w:hAnsi="Times New Roman" w:eastAsia="宋体" w:cs="Times New Roman"/>
          <w:b w:val="0"/>
          <w:i w:val="0"/>
          <w:sz w:val="21"/>
        </w:rPr>
        <w:t>2、本成绩单由研究生填写基本内容，任课教师填写评语、成绩，签名后与作业（试卷）一并送院研究生秘书处；</w:t>
      </w:r>
    </w:p>
    <w:p>
      <w:pPr>
        <w:spacing w:lineRule="auto" w:line="300" w:before="40" w:after="0"/>
        <w:ind w:firstLine="0"/>
        <w:jc w:val="left"/>
      </w:pPr>
      <w:r>
        <w:rPr>
          <w:rFonts w:ascii="Times New Roman" w:hAnsi="Times New Roman" w:eastAsia="宋体" w:cs="Times New Roman"/>
          <w:b w:val="0"/>
          <w:i w:val="0"/>
          <w:sz w:val="21"/>
        </w:rPr>
        <w:t>3、学位课总评成绩须以百分制记分。</w:t>
      </w:r>
    </w:p>
    <w:p>
      <w:r>
        <w:br w:type="page"/>
      </w:r>
    </w:p>
    <w:p>
      <w:pPr>
        <w:spacing w:lineRule="auto" w:line="336" w:before="160" w:after="280"/>
        <w:ind w:firstLine="0"/>
        <w:jc w:val="center"/>
      </w:pPr>
      <w:r>
        <w:rPr>
          <w:rFonts w:ascii="Times New Roman" w:hAnsi="Times New Roman" w:eastAsia="黑体" w:cs="Times New Roman"/>
          <w:b/>
          <w:i w:val="0"/>
          <w:sz w:val="32"/>
        </w:rPr>
        <w:t>学术交流活动报告</w:t>
      </w:r>
    </w:p>
    <w:p>
      <w:pPr>
        <w:spacing w:lineRule="auto" w:line="312" w:before="0" w:after="240"/>
        <w:ind w:firstLine="0"/>
        <w:jc w:val="center"/>
      </w:pPr>
      <w:r>
        <w:rPr>
          <w:rFonts w:ascii="Times New Roman" w:hAnsi="Times New Roman" w:eastAsia="楷体" w:cs="Times New Roman"/>
          <w:b w:val="0"/>
          <w:i/>
          <w:sz w:val="24"/>
        </w:rPr>
        <w:t>——基于南师大地科院近两年学术报告的学习体会</w:t>
      </w:r>
    </w:p>
    <w:p>
      <w:pPr>
        <w:spacing w:lineRule="auto" w:line="360" w:before="0" w:after="0"/>
        <w:ind w:firstLine="420"/>
        <w:jc w:val="both"/>
      </w:pPr>
      <w:r>
        <w:rPr>
          <w:rFonts w:ascii="Times New Roman" w:hAnsi="Times New Roman" w:eastAsia="宋体" w:cs="Times New Roman"/>
          <w:b w:val="0"/>
          <w:i w:val="0"/>
          <w:sz w:val="24"/>
        </w:rPr>
        <w:t>研究生阶段是专业知识不断积累、科研思维逐渐成形的关键时期。除了围绕自身方向做文献精读和实验之外，走进学院的学术讲堂、近距离听取领域内学者的报告，是打开专业视野、校正研究问题意识的重要途径。2025—2026学年，我先后参加了学院“旭旦讲堂／陈述彭大讲堂”系列多场报告。其中两场给我留下的印象最为深刻：一场是2026年6月23日上午，香港中文大学关美宝教授在仙林校区行远楼220会议室所作的“面向可持续城市的地理人工智能”报告；另一场是2026年6月25日上午，中国科学院院士、香港大学叶嘉安教授应陈旻院长邀请，在行远楼118会议室“陈述彭大讲堂”所作的“智慧交通与未来城市”报告。此前的2025年11月14日，我还听了香港科技大学（广州）乐阳教授《如何从大语言模型到城市大模型》的讲座，为理解后两场报告中的GeoAI讨论做了铺垫。</w:t>
      </w:r>
    </w:p>
    <w:p>
      <w:pPr>
        <w:spacing w:lineRule="auto" w:line="360" w:before="0" w:after="0"/>
        <w:ind w:firstLine="420"/>
        <w:jc w:val="both"/>
      </w:pPr>
      <w:r>
        <w:rPr>
          <w:rFonts w:ascii="Times New Roman" w:hAnsi="Times New Roman" w:eastAsia="宋体" w:cs="Times New Roman"/>
          <w:b w:val="0"/>
          <w:i w:val="0"/>
          <w:sz w:val="24"/>
        </w:rPr>
        <w:t>三场报告的具体对象并不相同——环境健康、城市交通、城市大模型——但都指向同一条学科趋势：地理信息科学正在从“对象属性管理与制图表达”，走向“空间关系建模、时空过程模拟和地理显式人工智能”。作为地图学与地理信息系统专业的研究生，我过去更多把精力放在数据预处理、空间分析和制图输出上，对“空间单元如何被定义”“人如何在城市中移动”“二维地图能否支撑未来城市决策”这些问题思考不够。两场报告迫使我把这些前提重新拿出来审视。现将学习体会整理如下。</w:t>
      </w:r>
    </w:p>
    <w:p>
      <w:pPr>
        <w:spacing w:lineRule="auto" w:line="360" w:before="280" w:after="120"/>
        <w:ind w:firstLine="0"/>
        <w:jc w:val="left"/>
      </w:pPr>
      <w:r>
        <w:rPr>
          <w:rFonts w:ascii="Times New Roman" w:hAnsi="Times New Roman" w:eastAsia="黑体" w:cs="Times New Roman"/>
          <w:b/>
          <w:i w:val="0"/>
          <w:sz w:val="28"/>
        </w:rPr>
        <w:t>一、关美宝教授：面向可持续城市的地理人工智能</w:t>
      </w:r>
    </w:p>
    <w:p>
      <w:pPr>
        <w:spacing w:lineRule="auto" w:line="360" w:before="0" w:after="0"/>
        <w:ind w:firstLine="420"/>
        <w:jc w:val="both"/>
      </w:pPr>
      <w:r>
        <w:rPr>
          <w:rFonts w:ascii="Times New Roman" w:hAnsi="Times New Roman" w:eastAsia="宋体" w:cs="Times New Roman"/>
          <w:b w:val="0"/>
          <w:i w:val="0"/>
          <w:sz w:val="24"/>
        </w:rPr>
        <w:t>2026年6月23日上午，地理科学学院“旭旦讲坛”特邀报告在仙林校区行远楼220会议室举行。报告人是香港中文大学崇基学院院长、卓敏地理与资源管理学教授、太空与地球信息科学研究所主任关美宝（Mei-Po Kwan）教授。关教授长期从事时间地理学、环境健康、移动性与地理人工智能交叉研究，是国际人文地理学和GIScience领域被广泛引用的学者，其提出的“不确定地理背景问题”（Uncertain Geographic Context Problem, UGCoP）和“邻里效应平均化问题”（Neighborhood Effect Averaging Problem, NEAP）已经成为环境暴露与健康研究中的基础性概念。</w:t>
      </w:r>
    </w:p>
    <w:p>
      <w:pPr>
        <w:spacing w:lineRule="auto" w:line="360" w:before="0" w:after="0"/>
        <w:ind w:firstLine="420"/>
        <w:jc w:val="both"/>
      </w:pPr>
      <w:r>
        <w:rPr>
          <w:rFonts w:ascii="Times New Roman" w:hAnsi="Times New Roman" w:eastAsia="宋体" w:cs="Times New Roman"/>
          <w:b w:val="0"/>
          <w:i w:val="0"/>
          <w:sz w:val="24"/>
        </w:rPr>
        <w:t>报告的主题是“面向可持续城市的地理人工智能”。关教授并没有把GeoAI讲成一套新算法清单，而是始终扣住一个问题：当我们用人工智能去认识城市环境和人群健康时，空间如何进入模型，又如何被模型所扭曲。她首先指出，可持续城市研究中的许多关键变量——噪声、空气污染、绿地可达、热环境、日常活动空间——都不是“住在某个行政区划单元里的人”所对应的静态属性，而是人在一天之中不断移动、停留、暴露的过程量。如果分析时仍然以居住地街区、普查区或格网作为唯一空间单元，把每个单元当成彼此独立的样本送进机器学习模型，得到的相关关系即使数值漂亮，也可能在机制上是错的。</w:t>
      </w:r>
    </w:p>
    <w:p>
      <w:pPr>
        <w:spacing w:lineRule="auto" w:line="360" w:before="0" w:after="0"/>
        <w:ind w:firstLine="420"/>
        <w:jc w:val="both"/>
      </w:pPr>
      <w:r>
        <w:rPr>
          <w:rFonts w:ascii="Times New Roman" w:hAnsi="Times New Roman" w:eastAsia="宋体" w:cs="Times New Roman"/>
          <w:b w:val="0"/>
          <w:i w:val="0"/>
          <w:sz w:val="24"/>
        </w:rPr>
        <w:t>报告的主体部分，关教授重点分享了其团队在城市噪声暴露与健康影响研究中的最新进展。团队构建了融合多源数据的GeoAI模型，把遥感与地面监测得到的环境场、手机或可穿戴设备得到的个体轨迹、以及社会经济背景信息放进同一分析框架；在此基础上，不是停在“预测精度高不高”，而是进一步引入双重机器学习（Double Machine Learning）等因果推断方法，去识别噪声暴露对健康结果的净效应。研究发现，不同活动空间定义、不同时间窗口和不同邻域尺度下，暴露—健康关系的方向和强度都会发生变化。换句话说，GeoAI给出的“结论”高度依赖于我们如何切割空间、如何刻画人的移动。这正是UGCoP在人工智能时代的新表达：算法越强，如果空间背景选错，偏差会被放大得越隐蔽。</w:t>
      </w:r>
    </w:p>
    <w:p>
      <w:pPr>
        <w:spacing w:lineRule="auto" w:line="360" w:before="0" w:after="0"/>
        <w:ind w:firstLine="420"/>
        <w:jc w:val="both"/>
      </w:pPr>
      <w:r>
        <w:rPr>
          <w:rFonts w:ascii="Times New Roman" w:hAnsi="Times New Roman" w:eastAsia="宋体" w:cs="Times New Roman"/>
          <w:b w:val="0"/>
          <w:i w:val="0"/>
          <w:sz w:val="24"/>
        </w:rPr>
        <w:t>关教授还强调了NEAP的含义。人并不是全天候待在居住地，日常活动会把不同环境背景“平均”进个体的真实暴露里。若只用居住地环境代表个体暴露，高暴露人群的风险可能被低估，低暴露人群的风险可能被高估，环境正义评估也会出现系统性偏差。GeoAI如果只是把更细的街景、更密的传感器、更大的深度学习网络叠加上去，而不处理活动空间和暴露过程，就仍然是“更精细的错误空间单元”。报告因此主张：面向可持续城市的GeoAI，必须是地理显式的（spatially explicit）——位置、邻域、尺度、移动轨迹和时空交互不能只作为数据字段存在，而要进入模型结构本身。</w:t>
      </w:r>
    </w:p>
    <w:p>
      <w:pPr>
        <w:spacing w:lineRule="auto" w:line="360" w:before="0" w:after="0"/>
        <w:ind w:firstLine="420"/>
        <w:jc w:val="both"/>
      </w:pPr>
      <w:r>
        <w:rPr>
          <w:rFonts w:ascii="Times New Roman" w:hAnsi="Times New Roman" w:eastAsia="宋体" w:cs="Times New Roman"/>
          <w:b w:val="0"/>
          <w:i w:val="0"/>
          <w:sz w:val="24"/>
        </w:rPr>
        <w:t>报告还把时间地理学的经典框架重新放到了GeoAI语境里。关教授长期强调：地理研究中的“背景”不是一张静态底图，而是个人在特定时间路径上所穿越的环境序列。GPS轨迹、手机信令、公交刷卡和可穿戴传感器，使这种时间路径第一次能够被大规模观测；但观测变密，并不自动带来推断变准。如果把轨迹切成驻留点后再聚合回行政区，等于把好不容易获得的过程数据重新压回旧的空间单元。GeoAI真正该做的，是让模型能够处理不规则、不等长、带有方向和节奏的时空路径，而不是把人重新变成格网里的一个像素。对GIS专业训练而言，这要求我们把“空间分析”从图层叠加，扩展到路径、驻留、共现和暴露积分。</w:t>
      </w:r>
    </w:p>
    <w:p>
      <w:pPr>
        <w:spacing w:lineRule="auto" w:line="360" w:before="0" w:after="0"/>
        <w:ind w:firstLine="420"/>
        <w:jc w:val="both"/>
      </w:pPr>
      <w:r>
        <w:rPr>
          <w:rFonts w:ascii="Times New Roman" w:hAnsi="Times New Roman" w:eastAsia="宋体" w:cs="Times New Roman"/>
          <w:b w:val="0"/>
          <w:i w:val="0"/>
          <w:sz w:val="24"/>
        </w:rPr>
        <w:t>另一个让我印象深刻的点，是她对“可解释”和“可干预”的区分。城市研究里很容易满足于变量重要性排序或一张预测精度表。关教授用因果推断提醒：政策真正需要的是“如果减少某类噪声暴露，健康结果会怎样变”，而不是“噪声和生活满意度在统计上相关”。双重机器学习等工具当然不是万能的，但它把GeoAI从预测竞赛拉回到地理问题：机制是否成立、尺度是否稳健、结论能否支持治理。这与学院一贯强调的地理建模——模型要有适用条件、误差要被评估、输出不能被夸大——是同一类学术纪律。</w:t>
      </w:r>
    </w:p>
    <w:p>
      <w:pPr>
        <w:spacing w:lineRule="auto" w:line="360" w:before="0" w:after="0"/>
        <w:ind w:firstLine="420"/>
        <w:jc w:val="both"/>
      </w:pPr>
      <w:r>
        <w:rPr>
          <w:rFonts w:ascii="Times New Roman" w:hAnsi="Times New Roman" w:eastAsia="宋体" w:cs="Times New Roman"/>
          <w:b w:val="0"/>
          <w:i w:val="0"/>
          <w:sz w:val="24"/>
        </w:rPr>
        <w:t>听完这场报告，我最大的触动不在某个具体模型名称，而在研究设计的前提。我在平时作业和预实验中，习惯于把研究区切成规则格网或行政单元，计算每个单元的密度、可达性或景观指数，再做相关或回归。这种方法在探索性描述时是有用的，但一旦问题涉及“人与环境如何相互作用”，它就默认了一个很强的假设：人被钉在那个单元里。关教授用噪声—健康研究把这个假设拆开了。对地图学与GIS专业的学生来说，空间单元不是中性的技术选择，它本身就是理论立场。以后在做城市空间分析或GeoAI实验时，我需要明确回答三个问题：空间单元代表的是地点、人群还是活动过程？邻域尺度有没有做过稳健性检验？模型学到的是相关还是可以被干预的机制？</w:t>
      </w:r>
    </w:p>
    <w:p>
      <w:pPr>
        <w:spacing w:lineRule="auto" w:line="360" w:before="280" w:after="120"/>
        <w:ind w:firstLine="0"/>
        <w:jc w:val="left"/>
      </w:pPr>
      <w:r>
        <w:rPr>
          <w:rFonts w:ascii="Times New Roman" w:hAnsi="Times New Roman" w:eastAsia="黑体" w:cs="Times New Roman"/>
          <w:b/>
          <w:i w:val="0"/>
          <w:sz w:val="28"/>
        </w:rPr>
        <w:t>二、叶嘉安院士：智慧交通与未来城市</w:t>
      </w:r>
    </w:p>
    <w:p>
      <w:pPr>
        <w:spacing w:lineRule="auto" w:line="360" w:before="0" w:after="0"/>
        <w:ind w:firstLine="420"/>
        <w:jc w:val="both"/>
      </w:pPr>
      <w:r>
        <w:rPr>
          <w:rFonts w:ascii="Times New Roman" w:hAnsi="Times New Roman" w:eastAsia="宋体" w:cs="Times New Roman"/>
          <w:b w:val="0"/>
          <w:i w:val="0"/>
          <w:sz w:val="24"/>
        </w:rPr>
        <w:t>2026年6月25日上午，应地理科学学院陈旻院长邀请，中国科学院院士、香港大学叶嘉安教授在仙林校区行远楼118会议室“陈述彭大讲堂”作了题为“智慧交通与未来城市”的学术讲座。叶嘉安院士是国际著名的地理信息科学与城市规划学者，长期研究中国及东南亚的城市发展、GIS支持的城市规划以及三维地理信息在城市管理中的应用，近年也持续关注数字孪生城市和智慧科技如何改变规划与治理方式。学院把这场报告放在“陈述彭大讲堂”，本身就标明了它在学科传承上的分量——从陈述彭先生开创的遥感与地理信息系统事业，到今天的智慧城市与时空智能，问题变了，但“用空间信息认识并管理地球表面”这条主线没有变。</w:t>
      </w:r>
    </w:p>
    <w:p>
      <w:pPr>
        <w:spacing w:lineRule="auto" w:line="360" w:before="0" w:after="0"/>
        <w:ind w:firstLine="420"/>
        <w:jc w:val="both"/>
      </w:pPr>
      <w:r>
        <w:rPr>
          <w:rFonts w:ascii="Times New Roman" w:hAnsi="Times New Roman" w:eastAsia="宋体" w:cs="Times New Roman"/>
          <w:b w:val="0"/>
          <w:i w:val="0"/>
          <w:sz w:val="24"/>
        </w:rPr>
        <w:t>叶院士的报告从城市交通这一最日常、也最能体现空间组织的系统切入。他指出，交通从来不是单纯的工程问题，而是土地利用、人口分布、公共服务和信息技术共同塑造的空间过程。传统交通规划依赖分区出行发生—分布—方式划分—分配的四阶段模型，空间表达以二维路网和交通小区为主；智慧交通则把实时感知、多源轨迹、三维城市模型和仿真推演叠进同一套决策环境。未来城市的交通系统，将越来越依赖对“人在何时、从何处、经哪条三维路径、到达何地”的精细刻画，而不仅仅是断面流量和高峰小时系数。</w:t>
      </w:r>
    </w:p>
    <w:p>
      <w:pPr>
        <w:spacing w:lineRule="auto" w:line="360" w:before="0" w:after="0"/>
        <w:ind w:firstLine="420"/>
        <w:jc w:val="both"/>
      </w:pPr>
      <w:r>
        <w:rPr>
          <w:rFonts w:ascii="Times New Roman" w:hAnsi="Times New Roman" w:eastAsia="宋体" w:cs="Times New Roman"/>
          <w:b w:val="0"/>
          <w:i w:val="0"/>
          <w:sz w:val="24"/>
        </w:rPr>
        <w:t>报告中一个反复出现的判断是：GIS正在从二维制图工具变成城市运行的空间底座。叶院士结合数字孪生城市的运维逻辑，讨论了从2D到3D赋能城市规划与管理的路径。二维地图善于表达平面位置和拓扑，但城市交通的真实约束发生在立交、隧道、轨道、建筑内部连通和地上地下一体化空间里；停车、接驳、应急疏散、低空飞行器路径，也都无法被压扁成一张平面路网。三维GIS和数字孪生的意义，不在于把城市“做得更好看”，而在于让规划方案、交通组织和应急预案能够在与现实同构的空间里被模拟、被检验。与此同时，他提醒：技术能力的提升并不自动等于治理能力的提升。数据孤岛、标准不统一、模型不可解释、公众参与缺位，都会让“智慧”停留在演示层。智慧交通要真正服务未来城市，必须把地理信息基础设施、业务模型和社会目标放在一起设计。</w:t>
      </w:r>
    </w:p>
    <w:p>
      <w:pPr>
        <w:spacing w:lineRule="auto" w:line="360" w:before="0" w:after="0"/>
        <w:ind w:firstLine="420"/>
        <w:jc w:val="both"/>
      </w:pPr>
      <w:r>
        <w:rPr>
          <w:rFonts w:ascii="Times New Roman" w:hAnsi="Times New Roman" w:eastAsia="宋体" w:cs="Times New Roman"/>
          <w:b w:val="0"/>
          <w:i w:val="0"/>
          <w:sz w:val="24"/>
        </w:rPr>
        <w:t>叶院士的讨论也让我重新理解“交通数据”在GIS中的位置。卡口、轨迹、刷卡、共享单车和实时路况，看起来是交通工程的数据，本质上却是高强度的时空地理数据：它们同时记录位置、时间和流动关系。如果只把这些数据当成训练交通预测模型的特征表，丢掉空间网络约束、土地利用背景和三维通行能力，模型学到的可能只是相关，而不是城市如何被组织。反过来，如果GIS只把这些数据点在地图上，不做网络、时间和情景模拟，专业优势同样发挥不出来。智慧交通需要的是“地理信息 × 交通过程 × 城市功能”的耦合，而不是三个领域各自出一张图。</w:t>
      </w:r>
    </w:p>
    <w:p>
      <w:pPr>
        <w:spacing w:lineRule="auto" w:line="360" w:before="0" w:after="0"/>
        <w:ind w:firstLine="420"/>
        <w:jc w:val="both"/>
      </w:pPr>
      <w:r>
        <w:rPr>
          <w:rFonts w:ascii="Times New Roman" w:hAnsi="Times New Roman" w:eastAsia="宋体" w:cs="Times New Roman"/>
          <w:b w:val="0"/>
          <w:i w:val="0"/>
          <w:sz w:val="24"/>
        </w:rPr>
        <w:t>对我而言，这场报告校正了两个容易出现的认识偏差。第一，把“智慧交通”理解成车路协同硬件或算法竞赛。叶院士把它放回城市规划和地理信息的框架里：没有合理的土地利用和空间结构，再聪明的调度也只能在拥堵的平面上做局部优化。第二，把GIS的专业贡献理解成“给交通模型提供底图”。在数字孪生和三维城市的语境下，GIS贡献的是空间参照、多尺度表达、时空数据融合和情景模拟的能力，是未来城市操作系统的一部分，而不只是出图环节。结合学院虚拟地理环境、OpenGMS地理建模等已有方向，我更清楚地看到：南师大地信学科强调的“地理场景、地理过程、地理建模”，与叶院士所讲的未来城市空间底座是同一类问题在不同尺度上的展开。</w:t>
      </w:r>
    </w:p>
    <w:p>
      <w:pPr>
        <w:spacing w:lineRule="auto" w:line="360" w:before="280" w:after="120"/>
        <w:ind w:firstLine="0"/>
        <w:jc w:val="left"/>
      </w:pPr>
      <w:r>
        <w:rPr>
          <w:rFonts w:ascii="Times New Roman" w:hAnsi="Times New Roman" w:eastAsia="黑体" w:cs="Times New Roman"/>
          <w:b/>
          <w:i w:val="0"/>
          <w:sz w:val="28"/>
        </w:rPr>
        <w:t>三、两场报告的对照与对自身研究的启发</w:t>
      </w:r>
    </w:p>
    <w:p>
      <w:pPr>
        <w:spacing w:lineRule="auto" w:line="360" w:before="0" w:after="0"/>
        <w:ind w:firstLine="420"/>
        <w:jc w:val="both"/>
      </w:pPr>
      <w:r>
        <w:rPr>
          <w:rFonts w:ascii="Times New Roman" w:hAnsi="Times New Roman" w:eastAsia="宋体" w:cs="Times New Roman"/>
          <w:b w:val="0"/>
          <w:i w:val="0"/>
          <w:sz w:val="24"/>
        </w:rPr>
        <w:t>把关美宝教授和叶嘉安院士的报告放在一起读，会发现它们分别打在地理信息科学研究的两个薄弱处。关教授打的是“人”：人不是格网里的一个属性值，人的移动使暴露、可达和健康风险变成过程；GeoAI如果忽略这一过程，就会在错误的空间背景上给出看似精确的答案。叶院士打的是“城”：城市不是一层二维专题图，交通和功能在三维空间与时间中组织；GIS如果停留在静态平面，就支撑不了未来城市的规划与运行。一条线从个体活动空间向上看，一条线从城市系统结构向下看，中间交汇的正是时空数据、空间关系和地理显式模型。</w:t>
      </w:r>
    </w:p>
    <w:p>
      <w:pPr>
        <w:spacing w:lineRule="auto" w:line="360" w:before="0" w:after="0"/>
        <w:ind w:firstLine="420"/>
        <w:jc w:val="both"/>
      </w:pPr>
      <w:r>
        <w:rPr>
          <w:rFonts w:ascii="Times New Roman" w:hAnsi="Times New Roman" w:eastAsia="宋体" w:cs="Times New Roman"/>
          <w:b w:val="0"/>
          <w:i w:val="0"/>
          <w:sz w:val="24"/>
        </w:rPr>
        <w:t>2025年11月14日乐阳教授《如何从大语言模型到城市大模型》的讲座，为我理解上述交汇提供了方法上的过渡。乐阳教授讨论的核心不是“把ChatGPT用在城市数据上”，而是如何把城市结构、空间约束和领域知识注入大模型，使模型输出具有地理可解释性。这与关教授强调的spatially explicit、与叶院士强调的三维空间底座，实际上是同一要求的不同技术实现：地理知识必须进入模型，而不是只出现在后处理的地图里。对照自己的学习，我意识到一个常见误区——看到GeoAI就去追网络结构和公开数据集榜单，却没有先问：我的空间单元对不对？我的过程有没有被表示？我的输出能不能在真实城市里被使用和检验？</w:t>
      </w:r>
    </w:p>
    <w:p>
      <w:pPr>
        <w:spacing w:lineRule="auto" w:line="360" w:before="0" w:after="0"/>
        <w:ind w:firstLine="420"/>
        <w:jc w:val="both"/>
      </w:pPr>
      <w:r>
        <w:rPr>
          <w:rFonts w:ascii="Times New Roman" w:hAnsi="Times New Roman" w:eastAsia="宋体" w:cs="Times New Roman"/>
          <w:b w:val="0"/>
          <w:i w:val="0"/>
          <w:sz w:val="24"/>
        </w:rPr>
        <w:t>落到可执行的改进上，我给自己列了三条。其一，凡是涉及城市人群或环境暴露的分析，增加基于轨迹或活动空间的对照实验，至少检验居住地单元与活动空间单元之间的结论差异，避免把UGCoP、NEAP只写在文献综述里。其二，凡是涉及交通或城市形态的表达，尝试从二维专题图推进到多层级网络和必要的三维约束，哪怕研究尺度还不支持完整数字孪生，也要在概念上分清“平面等效”和“真实空间过程”。其三，在使用机器学习或大模型时，把空间依赖、尺度效应和因果识别写进实验设计，而不是训练完成后再补一张空间分布图。这三条并不追求一次做成完整论文，但可以作为今后开题、预实验和学术报告提问的固定检查清单。</w:t>
      </w:r>
    </w:p>
    <w:p>
      <w:pPr>
        <w:spacing w:lineRule="auto" w:line="360" w:before="280" w:after="120"/>
        <w:ind w:firstLine="0"/>
        <w:jc w:val="left"/>
      </w:pPr>
      <w:r>
        <w:rPr>
          <w:rFonts w:ascii="Times New Roman" w:hAnsi="Times New Roman" w:eastAsia="黑体" w:cs="Times New Roman"/>
          <w:b/>
          <w:i w:val="0"/>
          <w:sz w:val="28"/>
        </w:rPr>
        <w:t>四、学习体会</w:t>
      </w:r>
    </w:p>
    <w:p>
      <w:pPr>
        <w:spacing w:lineRule="auto" w:line="360" w:before="0" w:after="0"/>
        <w:ind w:firstLine="420"/>
        <w:jc w:val="both"/>
      </w:pPr>
      <w:r>
        <w:rPr>
          <w:rFonts w:ascii="Times New Roman" w:hAnsi="Times New Roman" w:eastAsia="宋体" w:cs="Times New Roman"/>
          <w:b w:val="0"/>
          <w:i w:val="0"/>
          <w:sz w:val="24"/>
        </w:rPr>
        <w:t>参加这两场学术交流，我对当前地理信息科学的位置有了更清楚的判断。人工智能和大数据确实在改写城市研究的工具箱，但地理学贡献的并不是“又一种数据”，而是关于位置、尺度、空间依赖、空间异质性和人地过程的理论约束。关美宝教授用可持续城市与健康研究说明：没有地理显式的AI，只会更高效地重复空间错配；叶嘉安院士用智慧交通与未来城市说明：没有三维时空底座的智慧，只会停留在仪表盘和演示动画。对地图学与地理信息系统专业的研究生来说，编程、模型和算力是必要能力，但它们替代不了对地理问题本身的追问。</w:t>
      </w:r>
    </w:p>
    <w:p>
      <w:pPr>
        <w:spacing w:lineRule="auto" w:line="360" w:before="0" w:after="0"/>
        <w:ind w:firstLine="420"/>
        <w:jc w:val="both"/>
      </w:pPr>
      <w:r>
        <w:rPr>
          <w:rFonts w:ascii="Times New Roman" w:hAnsi="Times New Roman" w:eastAsia="宋体" w:cs="Times New Roman"/>
          <w:b w:val="0"/>
          <w:i w:val="0"/>
          <w:sz w:val="24"/>
        </w:rPr>
        <w:t>两场报告也改变了我对“学术交流”的理解。高水平报告的价值，不在于当场记下多少公式，而在于它会改写你后续几个月看文献、做实验时的默认问题。我会把UGCoP、活动空间、三维GIS与数字孪生这些概念，作为自己阅读城市GeoAI、交通地理和空间分析论文时的对照坐标：这篇研究的空间单元是什么？它有没有处理人的移动？它的“智慧”落在感知、模拟还是治理？如果这些问题能够成为习惯，这场学术交流才真正进入了自己的科研过程。</w:t>
      </w:r>
    </w:p>
    <w:p>
      <w:pPr>
        <w:spacing w:lineRule="auto" w:line="360" w:before="0" w:after="0"/>
        <w:ind w:firstLine="420"/>
        <w:jc w:val="both"/>
      </w:pPr>
      <w:r>
        <w:rPr>
          <w:rFonts w:ascii="Times New Roman" w:hAnsi="Times New Roman" w:eastAsia="宋体" w:cs="Times New Roman"/>
          <w:b w:val="0"/>
          <w:i w:val="0"/>
          <w:sz w:val="24"/>
        </w:rPr>
        <w:t>今后我将继续参加学院旭旦讲堂、陈述彭大讲堂以及虚拟地理环境相关学术会议，在跟进GeoAI、时空智能和城市信息模型前沿的同时，把“空间如何被定义、过程如何被表示、结果如何被检验”作为自己研究训练的基本功，努力从会操作软件的技术使用者，转向能够提出并论证地理问题的研究者。</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