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立方体贴图(Cube Map)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概述</w:t>
      </w:r>
      <w:bookmarkEnd w:id="2"/>
    </w:p>
    <w:p>
      <w:r>
        <w:t>立方体贴图本质上是一种由 6 幅纹理组成的，按特定方式解释的纹理数组。通过使用立方体贴图映射，我们可以很容易地对一个天空进行纹理 映射或模拟反射。</w:t>
      </w:r>
    </w:p>
    <w:p>
      <w:r>
        <w:t>其实现思路是：将6幅纹理想像为关于某个坐标系原点和轴对齐的立方体的6个平面。由于立方体纹理是轴对齐的，它的每个平面都沿着3个主轴的方向放置；所以，我们可以根据与平面相交的主轴方向（±X，±Y，±Z）标识立方体贴图的每个平面。Direct3D提供了D3D11_TEXTURECUBE_FACE枚举类型来表示每个平面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typedef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enum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D3D11_TEXTURECUBE_FACE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D3D11_TEXTURECUBE_FACE_POSITIVE_X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D3D11_TEXTURECUBE_FACE_NEGATIVE_X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D3D11_TEXTURECUBE_FACE_POSITIVE_Y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D3D11_TEXTURECUBE_FACE_NEGATIVE_Y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D3D11_TEXTURECUBE_FACE_POSITIVE_Z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D3D11_TEXTURECUBE_FACE_NEGATIVE_Z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 D3D11_TEXTURECUBE_FACE;</w:t>
            </w:r>
          </w:p>
        </w:tc>
      </w:tr>
    </w:tbl>
    <w:p/>
    <w:p/>
    <w:p>
      <w:r>
        <w:t>与2D纹理映射不同，要指定一个立方体贴图中的纹理元素，我们必须定义一个从原点引出的查找向量v，通过3D纹理坐标指定纹理元素。查找向量v与立方体贴图相交的地方就是3D纹理坐标v对应的纹理元素。</w:t>
      </w:r>
    </w:p>
    <w:p>
      <w:r>
        <w:drawing>
          <wp:inline>
            <wp:extent cx="3219450" cy="3305175"/>
            <wp:docPr id="100001" name="" descr="_scroll_external/attachments/image2021-3-17_17-9-30-9fbb79d7af42ad3009878581f1240dac33d0056f32a8fd9044b56ffb9af0d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0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在HLSL中，立方体纹理由TextureCube类型表示。下面的代码片段说明了应该如何对立方体贴图进行采样：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TextureCube gCubeMap;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float3 v = float3(x,y,z);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用于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查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找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纹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理坐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标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的向量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float4 color = gCubeMap.Sample(gSampler,v);</w:t>
            </w:r>
          </w:p>
        </w:tc>
      </w:tr>
    </w:tbl>
    <w:p/>
    <w:p/>
    <w:p>
      <w:r>
        <w:t>注意：查找向量和立方体贴图应该使用相同的坐标系。例如，当立方体贴图使用世界坐标系时（即，立方体平面与世界空间的主轴对齐），查找向量也应该使用世界坐标系。</w:t>
      </w:r>
    </w:p>
    <w:p>
      <w:pPr>
        <w:pStyle w:val="Heading1"/>
      </w:pPr>
      <w:bookmarkStart w:id="3" w:name="scroll-bookmark-3"/>
      <w:r>
        <w:t>环境贴图</w:t>
      </w:r>
      <w:bookmarkEnd w:id="3"/>
    </w:p>
    <w:p>
      <w:r>
        <w:t>立方体贴图的主要用途是实现环境贴图映射（environment mapping）。它的实现思路是：在场景中的某个物体O的中心位置放置一架摄像机，将（水平和垂直）视域角设为90º。然后沿着±X轴、±Y轴和±X轴方向，从6种不同的角度各拍摄一张照片（在照片中不包含物体O）。因为视域角为90º，所以这6张照片完全可以从物体O的角度捕捉到各个方向上的环境信息。我们把这6张照片存入到一个立方体贴图中，就得到了所谓的环境贴图。换句话说，环境贴图就是在立方体平面上存入一个环境的全景照片。</w:t>
      </w:r>
    </w:p>
    <w:p>
      <w:r>
        <w:drawing>
          <wp:inline>
            <wp:extent cx="5133975" cy="3848100"/>
            <wp:docPr id="100002" name="" descr="_scroll_external/attachments/image2021-3-17_17-10-10-def6af244296bdd44d0069c65adc3edda2ff6e3ee2becb815e9b5d5ee49dd9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3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上述内容表明，在场景中有多少个使用环境贴图映射的物体，我们就需要创建多少个环境贴图。不过，环境贴图通常只用于表现远处的“背景”信息，故近景物体可以共享相同的环境贴图。</w:t>
      </w:r>
    </w:p>
    <w:p>
      <w:r>
        <w:t>环境贴图使用的这6幅图像一般不是在Direct3D程序中生成的，虽然有时也可以这么做。它们的内容通常是由美术师提前画好的（就像我们之前使用的2D纹理一样）。我们也可以在一个3D世界编辑器中创建场景，然后在编辑器中预渲染立方体贴图平面上的这6幅图像。</w:t>
      </w:r>
    </w:p>
    <w:p>
      <w:pPr>
        <w:pStyle w:val="Heading1"/>
      </w:pPr>
      <w:bookmarkStart w:id="4" w:name="scroll-bookmark-4"/>
      <w:r>
        <w:t>天空纹理映射</w:t>
      </w:r>
      <w:bookmarkEnd w:id="4"/>
    </w:p>
    <w:p>
      <w:r>
        <w:t>环境贴图可以用来对天空进行纹理映射。我们可以创建一个包围整个场景的椭圆体，使用一个环境贴图对椭圆体进行纹理映射，将环境贴图投影到椭圆体表面上，模拟天地相接处的远山假象。</w:t>
      </w:r>
    </w:p>
    <w:p>
      <w:r>
        <w:drawing>
          <wp:inline>
            <wp:extent cx="2809875" cy="3371850"/>
            <wp:docPr id="100003" name="" descr="_scroll_external/attachments/image2021-3-17_17-10-36-2e3365634f003c82d628f00642e515fc2c96d6f7ee51c63d80b0e95047f812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假设天空椭圆体无限遥远，无论摄像机如何在世界空间中移动，我们永远都无法靠近或远离天空椭圆体表面。要实现这个无限遥远的天空，我们只需要在世界空间中将天空椭圆体的中心和摄像机的位置对齐，让它跟着摄像机移动。这样无论摄像机移动到哪，我们都不会靠近天空椭圆体表面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TextureCube gCubeMap : register(t1);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SamplerState gSampler : register(s0);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VertexIn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PosL    :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VertexOut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PosH : SV_POSITION;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PosL :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VertexOut VS(VertexIn vin)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VertexOut vout;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Use local vertex position as cubemap lookup vector.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vout.PosL = vin.PosL;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Transform to world space.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posW = mul(float4(vin.PosL,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Always center sky about camera.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posW.xyz += gEyePosW;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Set z = w so that z/w = 1 (i.e., skydome always on far plane).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vout.PosH = mul(posW, gViewProj).xyww;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Remember to set DepthFunc to COMPARISON_LESS_EQUAL;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vout;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float4 PS(VertexOut pin) : SV_Target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gCubeMap.Sample(gSampler, pin.PosL);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pPr>
        <w:pStyle w:val="Heading1"/>
      </w:pPr>
      <w:bookmarkStart w:id="5" w:name="scroll-bookmark-5"/>
      <w:r>
        <w:t>模拟反射</w:t>
      </w:r>
      <w:bookmarkEnd w:id="5"/>
    </w:p>
    <w:p>
      <w:r>
        <w:t>环境贴图的另一个主要用途是为任意物体模拟反射（该技术只能反射环境贴图中的图像）。下图说明了如何使用环境贴图来实现镜面反射。这个表面就像是一面镜子：观察点e可以看到由p点反射回来的环境图像。</w:t>
      </w:r>
    </w:p>
    <w:p>
      <w:r>
        <w:drawing>
          <wp:inline>
            <wp:extent cx="2800350" cy="3314700"/>
            <wp:docPr id="100004" name="" descr="_scroll_external/attachments/image2021-3-17_17-11-17-92fdb669eba20a8f3f7e41fa6d0e93ba5c5c044226a8a92e6714bd7db4c76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0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我们为每个像素计算反射向量，然后用它来对环境贴图进行采样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incident = -toEyeW;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reflectionVector = reflect(incident, pin.NormalW);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reflectionColor = gCubeMap.Sample(gSampler, reflectionVector);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litColor += gMaterial.Reflect*reflectionColor;</w:t>
            </w:r>
          </w:p>
        </w:tc>
      </w:tr>
    </w:tbl>
    <w:p/>
    <w:p/>
    <w:p>
      <w:r>
        <w:t>下图说明通过环境贴图映射无法达到令人满意的平面反射效果。这是因为反射向量无法表达完整的信息（它不包含坐标位置）；我们实际需要的是一条反射射线，并且要让该射线与环境贴图相交。射线具有位置和方向，而向量只具有方向。我们可以从图中看到，两条反射射线r(t) = p + tv和rʹ(t) = pʹ + tv与不同的立方体贴图元素相交，所以应该得到不同的颜色。不过，由于两条射线具有相同的方向向量v，而方向向量v又被唯一地用于查找立方体贴图，所以当观察点位于e和eʹ时，p和pʹ会映射到同一个纹理元素上。对于平面物体来说，这是环境贴图映射的一个严重缺陷。对于曲面来说，环境贴图映射的这一缺陷并不明显，因为曲面会产生反射向量的变化。</w:t>
      </w:r>
    </w:p>
    <w:p>
      <w:r>
        <w:drawing>
          <wp:inline>
            <wp:extent cx="3800475" cy="3457575"/>
            <wp:docPr id="100005" name="" descr="_scroll_external/attachments/image2021-3-17_17-11-34-e71a7b44709961776b009b956d319c3195290d3c0870f27c0dc6e37b245e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8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6"/>
      <w:r>
        <w:t>动态立方体贴图</w:t>
      </w:r>
      <w:bookmarkEnd w:id="6"/>
    </w:p>
    <w:p>
      <w:r>
        <w:t>上面描述的都是静态立方体贴图，存储的是预先绘制好的固定图像。但如果我们需要在场景中创建一些会移动的动态物体，则事先生成的立方体贴图当然无法捕捉到这些物体，所以无法绘制出动态物体的反射镜像。</w:t>
      </w:r>
    </w:p>
    <w:p>
      <w:r>
        <w:t>为了克服这种限制，我们可以在运行时动态地构建立方体贴图。在每一帧里，以摄像机作为原点，沿着坐标轴共6个方向将场景渲染6次，存储到立方体贴图的对应面里。这样就能捕捉到场景中动态物体的反射镜像。</w:t>
      </w:r>
    </w:p>
    <w:p>
      <w:r>
        <w:drawing>
          <wp:inline>
            <wp:extent cx="4381500" cy="4333875"/>
            <wp:docPr id="100006" name="" descr="_scroll_external/attachments/image2021-3-17_17-12-12-a4b2a70bc3a9718db43cb4d3bb3fd6fa4a8597124457a7e699863d37c04dc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因为每一帧都需要将场景绘制6次，所以我们应将场景中用到动态立方体贴图的地方降到最少。而且我们一般使用相对较低分辨率的立方体图(如256*256)，这样可以减少要处理的像素数量。</w:t>
      </w:r>
    </w:p>
    <w:p/>
    <w:p>
      <w:r>
        <w:rPr>
          <w:b/>
        </w:rPr>
        <w:t>构建立方体贴图</w:t>
      </w:r>
    </w:p>
    <w:p>
      <w:r>
        <w:t>我们通过创建一个包含6个元素的纹理数组，并且指定D3D11_RESOURCE_MISC_TEXTURECUBE作为MiscFlags来创建立方体贴图。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CD3D11_TEXTURE2D_DESC texDesc(DXGI_FORMAT_R8G8B8A8_UNORM,m_cubeMapSize,m_cubeMapSize);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texDesc.ArraySize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texDesc.BindFlags = D3D11_BIND_SHADER_RESOURCE | D3D11_BIND_RENDER_TARGET;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texDesc.MiscFlags = D3D11_RESOURCE_MISC_TEXTURECUBE | D3D11_RESOURCE_MISC_GENERATE_MIPS;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HRESULT hr = m_d3dDevice-&gt;CreateTexture2D(&amp;texDesc, nullptr, m_dynamicCubeMapTexture.GetAddressOf());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</w:tc>
      </w:tr>
    </w:tbl>
    <w:p/>
    <w:p/>
    <w:p>
      <w:r>
        <w:t>我们还需要指定D3D11_RESOURCE_MISC_GENERATE_MIPS，这样我们就可以调用ID3D11DeviceContext::GenerateMips来生成mipmap。因为我们只是渲染到最高层的mipmap，如果不手动生成的话，其他层会是没有定义的状态。</w:t>
      </w:r>
    </w:p>
    <w:p>
      <w:r>
        <w:t>接下来我们需要为立方体贴图的每一个面都创建RenderTargetView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CD3D11_RENDER_TARGET_VIEW_DESC rtvDesc(D3D11_RTV_DIMENSION_TEXTURE2DARRAY);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rtvDesc.Format = DXGI_FORMAT_R8G8B8A8_UNORM;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rtvDesc.Texture2DArray.ArraySize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i &lt;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rtvDesc.Texture2DArray.FirstArraySlice = i;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hr = m_d3dDevice-&gt;CreateRenderTargetView(m_dynamicCubeMapTexture.Get(), &amp;rtvDesc, m_dynamicCubeMapRTV[i].GetAddressOf());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</w:tc>
      </w:tr>
    </w:tbl>
    <w:p/>
    <w:p/>
    <w:p>
      <w:r>
        <w:t>最后我们创建ShaderResourceView，将ViewDimension指定为D3D11_SRV_DIMENSION_TEXTURECUBE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CD3D11_SHADER_RESOURCE_VIEW_DESC srvDesc(D3D11_SRV_DIMENSION_TEXTURECUBE);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srvDesc.Format = DXGI_FORMAT_R8G8B8A8_UNORM;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m_d3dDevice-&gt;CreateShaderResourceView(m_dynamicCubeMapTexture.Get(), &amp;srvDesc, m_dynamicCubeMapSRV.GetAddressOf());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</w:tc>
      </w:tr>
    </w:tbl>
    <w:p/>
    <w:p/>
    <w:p>
      <w:r>
        <w:rPr>
          <w:b/>
        </w:rPr>
        <w:t>构建深度缓冲区和视口</w:t>
      </w:r>
    </w:p>
    <w:p>
      <w:r>
        <w:t>因为立方体贴图的每个面与后台缓冲区的主分辨率不一致，故需要创建相应的深度缓冲区和视口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D3D11_TEXTURE2D_DESC depthStencilDesc;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depthStencilDesc.Width = m_cubeMapSize;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depthStencilDesc.Height = m_cubeMapSize;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depthStencilDesc.MipLevels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depthStencilDesc.ArraySize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depthStencilDesc.Format = DXGI_FORMAT_D24_UNORM_S8_UINT;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depthStencilDesc.SampleDesc.Count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depthStencilDesc.SampleDesc.Quality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depthStencilDesc.Usage = D3D11_USAGE_DEFAULT;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depthStencilDesc.BindFlags = D3D11_BIND_DEPTH_STENCIL;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depthStencilDesc.CPUAccessFlags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depthStencilDesc.MiscFlags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ComPtr&lt;ID3D11Texture2D&gt; mDepthStencilBuffer;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m_d3dDevice-&gt;CreateTexture2D(&amp;depthStencilDesc, nullptr, mDepthStencilBuffer.GetAddressOf());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CD3D11_DEPTH_STENCIL_VIEW_DESC dsvDesc(D3D11_DSV_DIMENSION_TEXTURE2D, DXGI_FORMAT_D24_UNORM_S8_UINT);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m_d3dDevice-&gt;CreateDepthStencilView(mDepthStencilBuffer.Get(), &amp;dsvDesc, m_dynamicCubeMapDSV.GetAddressOf());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CD3D11_VIEWPORT dynamicCubeMapViewport(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.f, m_cubeMapSize, m_cubeMapSize);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m_d3dContext-&gt;RSSetViewports(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&amp;dynamicCubeMapViewport);</w:t>
            </w:r>
          </w:p>
        </w:tc>
      </w:tr>
    </w:tbl>
    <w:p/>
    <w:p/>
    <w:p>
      <w:r>
        <w:rPr>
          <w:b/>
        </w:rPr>
        <w:t>设置摄像机</w:t>
      </w:r>
    </w:p>
    <w:p>
      <w:r>
        <w:t>如前所述，我们以摄像机作为原点，沿着坐标轴的6个方向将场景渲染6次，存储到相应的立方体贴图的对应面里。</w:t>
      </w:r>
    </w:p>
    <w:p>
      <w:r>
        <w:t>通过以下代码计算出相应的观察矩阵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Generate the cube map about the given position.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center(x, y, z,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Look along each coordinate axis.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targets[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 +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y, z,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y, z,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XMFLOAT4(x, y +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z,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XMFLOAT4(x, y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z,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XMFLOAT4(x, y, z +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+Z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XMFLOAT4(x, y, z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-Z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Use world up vector (0,1,0) for all directions except +Y/-Y.  In these cases, we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are looking down +Y or -Y, so we need a different "up" vector.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ups[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 +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.f),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+Z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XMFLOAT4(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.f)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-Z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pos = XMLoadFloat4(&amp;center);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target = XMLoadFloat4(&amp;targets[i]);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up = XMLoadFloat4(&amp;ups[i]);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view = XMMatrixLookAtLH(pos, target, up);</w:t>
            </w:r>
          </w:p>
        </w:tc>
      </w:tr>
    </w:tbl>
    <w:p/>
    <w:p/>
    <w:p>
      <w:r>
        <w:t>投影矩阵也要计算相应的值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proj = XMMatrixPerspectiveFovLH(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0.5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*XM_PI,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.f, m_nearZ, m_farZ);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XMStoreFloat4x4(&amp;m_proj, proj);</w:t>
            </w:r>
          </w:p>
        </w:tc>
      </w:tr>
    </w:tbl>
    <w:p/>
    <w:p/>
    <w:p>
      <w:r>
        <w:t>最后我们只需设置相应的RenderTarget，绘制出6个方向即可。</w:t>
      </w:r>
    </w:p>
    <w:sectPr w:rsidSect="008B1C6A">
      <w:headerReference w:type="default" r:id="rId11"/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10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立方体贴图(Cube Map)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