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6F56FD" w:rsidP="00926478" w14:paraId="495E42DF" w14:textId="40383ACE">
      <w:pPr>
        <w:pStyle w:val="Heading1"/>
        <w:spacing w:before="0" w:after="245"/>
      </w:pPr>
      <w:bookmarkStart w:id="0" w:name="_GoBack"/>
      <w:bookmarkEnd w:id="0"/>
      <w:r>
        <w:t>计算着色器及应用：模糊</w:t>
      </w:r>
    </w:p>
    <w:p w:rsidR="0087617C" w:rsidRPr="00D841F2" w14:paraId="6791F24B" w14:textId="6EDD588B">
      <w:pPr>
        <w:pStyle w:val="Heading1"/>
      </w:pPr>
      <w:bookmarkStart w:id="1" w:name="scroll-bookmark-1"/>
      <w:bookmarkEnd w:id="1"/>
      <w:bookmarkStart w:id="2" w:name="scroll-bookmark-2"/>
      <w:r>
        <w:t>概述</w:t>
      </w:r>
      <w:bookmarkEnd w:id="2"/>
    </w:p>
    <w:p>
      <w:r>
        <w:t>现今的GPU针对连续地址的大量内存处理(streaming operation)进行了优化，这与CPU设计为随机访问内存的方式刚好相反。而且，GPU也采用了大规模并行处理结构，这样可以对顶点和像素进行并行处理。例如NVIDIA的显卡通常有多个流式多处理器(streaming multiprocessor, 简称SM)，每个处理器又包含多个CUDA核心。</w:t>
      </w:r>
    </w:p>
    <w:p>
      <w:r>
        <w:t>当需要大量执行相同操作时，并行处理有着巨大的优势。例如粒子系统，简化的粒子系统里每个粒子是相互无关的，可以并行的处理其物理特征。</w:t>
      </w:r>
    </w:p>
    <w:p>
      <w:r>
        <w:t>虽然GPU架构是专为绘图而设计的，但其强大的计算功能也可用于非图形应用。在这种情况下，我们通常需要将数据传回CPU侧，这时就需要考虑传输速度的瓶颈，这个传输速度远慢于CPU访问RAM和GPU访问VRAM的速度，故应避免频繁地回传数据。</w:t>
      </w:r>
    </w:p>
    <w:p>
      <w:r>
        <w:t>针对图形处理，我们可以将计算结果直接作为渲染管线的输入，无需再传回CPU。</w:t>
      </w:r>
    </w:p>
    <w:p>
      <w:r>
        <w:t>计算着色器既是用于这样的可编程着色器。其独立于渲染管线之外，可以读写GPU资源。</w:t>
      </w:r>
    </w:p>
    <w:p>
      <w:r>
        <w:drawing>
          <wp:inline>
            <wp:extent cx="5395595" cy="5725645"/>
            <wp:docPr id="100001" name="" descr="_scroll_external/attachments/image2021-2-18_17-41-42-0b7fe9f8a47c7eda48b61568a8f8a98f80fefc043c2c10b9fe485521db7387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2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7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</w:pPr>
      <w:bookmarkStart w:id="3" w:name="scroll-bookmark-3"/>
      <w:r>
        <w:t>线程组(Thread Groups)</w:t>
      </w:r>
      <w:bookmarkEnd w:id="3"/>
    </w:p>
    <w:p>
      <w:r>
        <w:t>在实际使用中，我们可以将线程划分为由线程组(thread group)组成的网格(grid)。一个线程组运行于一个多处理器上。因此，对于拥有16个多处理器的GPU来说，我们应该分配至少16个线程组，以使每个多处理器都能充分运转。而要获得更好的性能，我们应让每个多处理器至少拥有两个线程组，让它能在不同的线程组之间切换，以连续工作，避免等待时的空闲时间。</w:t>
      </w:r>
    </w:p>
    <w:p>
      <w:r>
        <w:t>每个线程组都有一块共享内存，可用于组内不用线程间的同步。不同线程组的共享内存是相互独立的，不能交叉访问。</w:t>
      </w:r>
    </w:p>
    <w:p>
      <w:r>
        <w:t>每个线程组包含多个线程，硬件会将其分为多个wrap来执行，每个warp有32个线程，通过SIMD32（即32个线程同时执行单条指令）的方式来处理。故出于性能考虑，我们指定线程组时的大小应为32的整数倍。我们可以用256来作为初始的设置。</w:t>
      </w:r>
    </w:p>
    <w:p>
      <w:r>
        <w:t>我们通过调用</w:t>
      </w:r>
      <w:r>
        <w:rPr>
          <w:b/>
        </w:rPr>
        <w:t>ID3D11DeviceContext::Dispatch</w:t>
      </w:r>
      <w:r>
        <w:t>来启动线程组。此方法有3个参数，可以开启一个3D网格。例如m_d3dContext-&gt;Dispatch(3, 2, 1);将开启一个3x2总共6个线程组的网格：</w:t>
      </w:r>
    </w:p>
    <w:p>
      <w:r>
        <w:drawing>
          <wp:inline>
            <wp:extent cx="3339822" cy="2381250"/>
            <wp:docPr id="100002" name="" descr="_scroll_external/attachments/image2021-2-18_17-42-36-8716643ace942c2a077313b5ce22c25cfcecca1fd4f93e64cc4a8b55275ba7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45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82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</w:pPr>
      <w:bookmarkStart w:id="4" w:name="scroll-bookmark-4"/>
      <w:r>
        <w:t>计算着色器(Compute Shader)</w:t>
      </w:r>
      <w:bookmarkEnd w:id="4"/>
    </w:p>
    <w:p>
      <w:r>
        <w:t>下面是一个将两个纹理相加的计算着色器的示例。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cbuffer cbSettings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Compute shader can access values in constant buffers.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Data sources and outputs.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Texture2D gInputA;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Texture2D gInputB;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RWTexture2D&lt;float4&gt; gOutput;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The number of threads in the thread group. The threads in a group can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be arranged in a 1D, 2D, or 3D grid layout.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[numthreads(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CS(int3 dispatchThreadID : SV_DispatchThreadID)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Thread ID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Sum the xyth texels and store the result in the xyth texel of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gOutput.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gOutput[dispatchThreadID.xy] = gInputA[dispatchThreadID.xy] + gInputB[dispatchThreadID.xy];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>
      <w:r>
        <w:rPr>
          <w:b/>
        </w:rPr>
        <w:t>线程组布局</w:t>
      </w:r>
    </w:p>
    <w:p>
      <w:r>
        <w:t>我们通过numthreads来定义不同的线程组布局，上面就用了包含16x16个线程的2D线程组</w:t>
      </w:r>
    </w:p>
    <w:p>
      <w:r>
        <w:rPr>
          <w:b/>
        </w:rPr>
        <w:t>输入与输出资源</w:t>
      </w:r>
    </w:p>
    <w:p>
      <w:r>
        <w:t>在上例中，我们使用了两个输入纹理。</w:t>
      </w:r>
    </w:p>
    <w:p>
      <w:r>
        <w:t>我们通过给两个纹理创建对应的SRV(ShaderResourceView， 着色器资源视图)，然后绑定到CS阶段，这与之前的像素着色器相同。注意，SRV都是只读资源。</w:t>
      </w:r>
    </w:p>
    <w:p>
      <w:r>
        <w:t>我们还定义了一个输出资源。它的前缀带有RW，表示可读可写。而且还用模板来表示输出资源的类型与维度。</w:t>
      </w:r>
    </w:p>
    <w:p>
      <w:r>
        <w:t>绑定需要写操作的资源时，我们需要声明UAV(UnorderedAccessView， 无序访问视图)，通过</w:t>
      </w:r>
      <w:r>
        <w:rPr>
          <w:b/>
        </w:rPr>
        <w:t>D3D11_UNORDERED_ACCESS_VIEW_DESC</w:t>
      </w:r>
      <w:r>
        <w:t>来描述。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DXGI_FORMAT format = DXGI_FORMAT_R8G8B8A8_UNORM;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CD3D11_TEXTURE2D_DESC offscreenDesc(format, m_outputWidth, m_outputHeight);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offscreenDesc.BindFlags = D3D11_BIND_SHADER_RESOURCE | D3D11_BIND_UNORDERED_ACCESS;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HRESULT hr = m_d3dDevice-&gt;CreateTexture2D(&amp;offscreenDesc, nullptr, m_offscreenTextureIntermediate.GetAddressOf());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 = m_d3dDevice-&gt;CreateShaderResourceView(m_offscreenTextureIntermediate.Get(), nullptr, m_offscreenSRVIntermediate.GetAddressOf());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 = m_d3dDevice-&gt;CreateUnorderedAccessView(m_offscreenTextureIntermediate.Get(), nullptr, m_offscreenUAVIntermediate.GetAddressOf());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</w:tc>
      </w:tr>
    </w:tbl>
    <w:p/>
    <w:p/>
    <w:p/>
    <w:p>
      <w:r>
        <w:t>如果一个纹理需要与UAV绑定，那么需要使用标志</w:t>
      </w:r>
      <w:r>
        <w:rPr>
          <w:b/>
        </w:rPr>
        <w:t>D3D11_BIND_UNORDERED_ACCESS</w:t>
      </w:r>
      <w:r>
        <w:t>。可以看到，我们将纹理同时绑定为SRV和UAV，但是注意这两者不能同时生效。这是一种很常见的手段，因为我们在计算着色器中将该纹理作为输出，之后可能需要将此纹理以SRV绑定到顶点或像素着色器。</w:t>
      </w:r>
    </w:p>
    <w:p>
      <w:r>
        <w:t>与SRV相应的，我们使用</w:t>
      </w:r>
      <w:r>
        <w:rPr>
          <w:b/>
        </w:rPr>
        <w:t>ID3D11DeviceContext::CSSetUnorderedAccessViews</w:t>
      </w:r>
      <w:r>
        <w:t>来绑定一个RW资源。</w:t>
      </w:r>
    </w:p>
    <w:p>
      <w:r>
        <w:rPr>
          <w:b/>
        </w:rPr>
        <w:t>索引</w:t>
      </w:r>
    </w:p>
    <w:p>
      <w:r>
        <w:t>纹理元素可以使用2D索引来进行访问，在上面的例子中，我们基于分派线程的ID来进行索引。</w:t>
      </w:r>
    </w:p>
    <w:p/>
    <w:p>
      <w:pPr>
        <w:pStyle w:val="Heading1"/>
      </w:pPr>
      <w:bookmarkStart w:id="5" w:name="scroll-bookmark-5"/>
      <w:r>
        <w:t>结构化缓冲（structured buffers）资源</w:t>
      </w:r>
      <w:bookmarkEnd w:id="5"/>
    </w:p>
    <w:p>
      <w:r>
        <w:t>示例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Data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v1;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float2 v2;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StructuredBuffer&lt;Data&gt; gInputA : register(t0);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StructuredBuffer&lt;Data&gt; gInputB : register(t1);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RWStructuredBuffer&lt;Data&gt; gOutput : register(u0);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[numthreads(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CS(int3 dtid : SV_DispatchThreadID)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gOutput[dtid.x].v1 = gInputA[dtid.x].v1 + gInputB[dtid.x].v1;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gOutput[dtid.x].v2 = gInputA[dtid.x].v2 + gInputB[dtid.x].v2;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/>
    <w:p/>
    <w:p>
      <w:r>
        <w:t>结构化缓冲是一种由相同类型元素构成的简单缓冲区，本质上是一种数组。并且其类型可以由用户自定义。</w:t>
      </w:r>
    </w:p>
    <w:p>
      <w:r>
        <w:t>在创建时，我们需要指定相应的flag和元素大小：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CD3D11_BUFFER_DESC outputGpuDataDesc(byteWidth, D3D11_BIND_UNORDERED_ACCESS);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outputGpuDataDesc.Usage = D3D11_USAGE_DEFAULT;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outputGpuDataDesc.CPUAccessFlags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outputGpuDataDesc.MiscFlags = D3D11_RESOURCE_MISC_BUFFER_STRUCTURED;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outputGpuDataDesc.StructureByteStride = sizeof(DataType);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 = m_d3dDevice-&gt;CreateBuffer(&amp;outputGpuDataDesc, nullptr, m_outputGpuBuffer.GetAddressOf());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</w:tc>
      </w:tr>
    </w:tbl>
    <w:p/>
    <w:p/>
    <w:p>
      <w:r>
        <w:t>结构化缓冲和纹理一样可以创建SRV或UAV然后绑定到流水线上。</w:t>
      </w:r>
    </w:p>
    <w:p>
      <w:r>
        <w:t>将计算着色器的结果复制到系统内存</w:t>
      </w:r>
    </w:p>
    <w:p>
      <w:r>
        <w:t>我们可以创建一块D3D11_USAGE_STAGING的buffer，将其指定为D3D11_CPU_ACCESS_READ。之后我们可以使用</w:t>
      </w:r>
      <w:r>
        <w:rPr>
          <w:b/>
        </w:rPr>
        <w:t>ID3D11DeviceContext::CopyResource</w:t>
      </w:r>
      <w:r>
        <w:t>来将其他资源复制到该资源中。注意，该资源与待复制的资源必须要有相同的大小和类型。接着我们就可以使用map/unmap来读取该资源中的数据了。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CD3D11_BUFFER_DESC outputCpuDataDesc(byteWidth,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outputCpuDataDesc.Usage = D3D11_USAGE_STAGING;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outputCpuDataDesc.CPUAccessFlags = D3D11_CPU_ACCESS_READ;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outputCpuDataDesc.MiscFlags = D3D11_RESOURCE_MISC_BUFFER_STRUCTURED;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outputCpuDataDesc.StructureByteStride = sizeof(DataType);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 = m_d3dDevice-&gt;CreateBuffer(&amp;outputCpuDataDesc, nullptr, m_outputCpuBuffer.GetAddressOf());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m_d3dContext-&gt;CopyResource(m_outputCpuBuffer.Get(), m_outputGpuBuffer.Get());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D3D11_MAPPED_SUBRESOURCE mappedData;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m_d3dContext-&gt;Map(m_outputCpuBuffer.Get(),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D3D11_MAP_READ,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&amp;mappedData);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DataType* outputData = reinterpret_cast&lt;DataType*&gt;(mappedData.pData);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m_d3dContext-&gt;Unmap(m_outputCpuBuffer.Get(),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</w:tc>
      </w:tr>
    </w:tbl>
    <w:p/>
    <w:p/>
    <w:p>
      <w:r>
        <w:t>    </w:t>
      </w:r>
    </w:p>
    <w:p>
      <w:pPr>
        <w:pStyle w:val="Heading1"/>
      </w:pPr>
      <w:bookmarkStart w:id="6" w:name="scroll-bookmark-6"/>
      <w:r>
        <w:t>线程ID系统值</w:t>
      </w:r>
      <w:bookmarkEnd w:id="6"/>
    </w:p>
    <w:p>
      <w:r>
        <w:t>我们有几种ID可以使用:</w:t>
      </w:r>
    </w:p>
    <w:p>
      <w:r>
        <w:t>1.系统会给每个线程组分配一个ID，称为线程组ID（group ID），用SV_GroupID来表示。</w:t>
      </w:r>
    </w:p>
    <w:p>
      <w:r>
        <w:t>2.在线程组内部，每个线程都有一个组内唯一的ID，称为组内线程ID（group thread ID），用SV_GroupThreadID来表示。</w:t>
      </w:r>
    </w:p>
    <w:p>
      <w:r>
        <w:t>3.调用dispatch时，会分配一个线程组网格，在所有线程中，每个线程都有一个唯一的标识，称为调度线程ID（dispatch thread ID），用SV_DispatchThreadID来表示。</w:t>
      </w:r>
    </w:p>
    <w:p>
      <w:r>
        <w:t>如果线程组规模是XYZ，我们就可以通过线程组ID和组内线程ID推算出调度线程ID：</w:t>
      </w:r>
    </w:p>
    <w:p>
      <w:r>
        <w:t>dispatchThreadID.xyz = groupID.xyz * ThreadGroupSize.xyz + groupThreadID.xyz;</w:t>
      </w:r>
    </w:p>
    <w:p>
      <w:r>
        <w:t>4.组内线程ID也可以用线性索引表示，使用SV_GroupIndex来表示，其计算方法为</w:t>
      </w:r>
    </w:p>
    <w:p>
      <w:r>
        <w:t>groupIndex = groupThreadID.z*ThreadGroupSize.x*ThreadGroupSize.y + groupThreadID.y*ThreadGroupSize.x + groupThreadID.x;</w:t>
      </w:r>
    </w:p>
    <w:p>
      <w:r>
        <w:t>通常计算着色器会以若干数据结构作为输入，我们可以用这些线程ID来对数据进行索引并同时处理。</w:t>
      </w:r>
    </w:p>
    <w:p>
      <w:r>
        <w:drawing>
          <wp:inline>
            <wp:extent cx="3061607" cy="2381250"/>
            <wp:docPr id="100003" name="" descr="_scroll_external/attachments/image2021-2-18_17-45-41-fae4320919459ec42386cb8718a99db68f31842aef076735704f8ebe6287a5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84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60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图中T的group ID为(1,1,0)，group thread ID为(2,5,0)，dispatch thread ID为(1,1,0) x (8,8,0) + (2,5,0) = (10,13,0)，group index ID为5 x 8 + 2 = 42。</w:t>
      </w:r>
    </w:p>
    <w:p/>
    <w:p>
      <w:pPr>
        <w:pStyle w:val="Heading1"/>
      </w:pPr>
      <w:bookmarkStart w:id="7" w:name="scroll-bookmark-7"/>
      <w:r>
        <w:t>追加缓冲区与消费缓冲区（append and consume buffers）</w:t>
      </w:r>
      <w:bookmarkEnd w:id="7"/>
    </w:p>
    <w:p>
      <w:r>
        <w:t>假设我们需要一个存储粒子的缓冲区，我们希望通过计算着色器更新其数据，并且不需要考虑粒子更新的顺序和他们输出的顺序。此时我们就可以使用消费缓冲区和追加缓冲区了。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Particle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Position;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Velocity;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Acceleration;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TimeStep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 /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60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ConsumeStructuredBuffer&lt;Particle&gt; gInput;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AppendStructuredBuffer&lt;Particle&gt; gOutput;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[numthreads(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CS()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Consume a data element from the input buffer.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Particle p = gInput.Consume();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p.Velocity += p.Acceleration*TimeStep;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p.Position += p.Velocity*TimeStep;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Append normalized vector to output buffer.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gOutput.Append(p);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>
      <w:r>
        <w:t>数据元素一旦经过处理（消费），则其他线程就不能再对其进行操作了。除此之外，我们无法知晓元素消费和追加的顺序，即某元素输入输出对应的索引很有可能是不一样的。</w:t>
      </w:r>
    </w:p>
    <w:p>
      <w:r>
        <w:t>这有点类似stack数据结构，但需要注意，追加结构化缓冲区不是动态增长的，必须要有足够的空间来存放所有要追加的元素。</w:t>
      </w:r>
    </w:p>
    <w:p>
      <w:r>
        <w:t>我们在创建UAV时需要指定</w:t>
      </w:r>
      <w:r>
        <w:rPr>
          <w:b/>
        </w:rPr>
        <w:t>D3D11_BUFFER_UAV_FLAG_APPEND</w:t>
      </w:r>
      <w:r>
        <w:t xml:space="preserve"> flag来声明追加缓冲区。</w:t>
      </w:r>
    </w:p>
    <w:p/>
    <w:p>
      <w:pPr>
        <w:pStyle w:val="Heading1"/>
      </w:pPr>
      <w:bookmarkStart w:id="8" w:name="scroll-bookmark-8"/>
      <w:r>
        <w:t>共享内存与线程同步</w:t>
      </w:r>
      <w:bookmarkEnd w:id="8"/>
    </w:p>
    <w:p>
      <w:r>
        <w:t>每个线程组都有一块共享内存，或者叫线程本地存储(thread local storage)。这种内存的访问速度很快，可认为与硬件高速换成速度不相上下。</w:t>
      </w:r>
    </w:p>
    <w:p>
      <w:r>
        <w:t>我们通过如下语句声明共享内存:</w:t>
      </w:r>
    </w:p>
    <w:p>
      <w:r>
        <w:t>groupshared float4 gCache[256];</w:t>
      </w:r>
    </w:p>
    <w:p>
      <w:r>
        <w:t>数组大小可以根据需要自定义，但是线程组共享内存总大小上限为32kb。</w:t>
      </w:r>
    </w:p>
    <w:p>
      <w:r>
        <w:t>处于性能考虑，共享内存不应太大。假如一个计算着色器需要20kb的共享内存，那么每个多处理器将只能处理一个线程组，而不是在两个里切换，因为这需要40kb，超出了最大限制。这样多处理器就无法屏蔽处理过程中的延迟。</w:t>
      </w:r>
    </w:p>
    <w:p>
      <w:r>
        <w:t>共享内存的常见应用场景是存储纹理数据。例如在模糊算法中，我们需要对同一个像素进行多次采样。而采样相比于计算其实是比较慢的GPU操作。如果我们将该线程组需要的纹理样本全部预加载到共享内存中，之后直接读取共享内存，则避免了反复进行采样。</w:t>
      </w:r>
    </w:p>
    <w:p>
      <w:r>
        <w:t>这里还需要注意，由于需要对共享内存进行读写，此时顺序至关重要。如果我们不加以限制，我们在读的时候，其他线程可能还没有完成写操作。</w:t>
      </w:r>
    </w:p>
    <w:p>
      <w:r>
        <w:t>此时就需要使用</w:t>
      </w:r>
      <w:r>
        <w:rPr>
          <w:b/>
        </w:rPr>
        <w:t>GroupMemoryBarrierWithGroupSync()</w:t>
      </w:r>
      <w:r>
        <w:t>来同步。确保所有线程都完成了采样并存放到了共享内存里，而后再进行后面的计算。</w:t>
      </w:r>
    </w:p>
    <w:p/>
    <w:p>
      <w:pPr>
        <w:pStyle w:val="Heading1"/>
      </w:pPr>
      <w:bookmarkStart w:id="9" w:name="scroll-bookmark-9"/>
      <w:r>
        <w:t>图像模糊示例</w:t>
      </w:r>
      <w:bookmarkEnd w:id="9"/>
    </w:p>
    <w:p>
      <w:pPr>
        <w:pStyle w:val="Heading1"/>
      </w:pPr>
      <w:bookmarkStart w:id="10" w:name="scroll-bookmark-10"/>
      <w:r>
        <w:t>模糊原理</w:t>
      </w:r>
      <w:bookmarkEnd w:id="10"/>
    </w:p>
    <w:p>
      <w:r>
        <w:t>模糊算法可以这样描述：针对源图像中的每一个像素，取其以之为中心的mxn个像素，计算加权平均值，得到的即是模糊后的结果。</w:t>
      </w:r>
    </w:p>
    <w:p>
      <w:r>
        <w:drawing>
          <wp:inline>
            <wp:extent cx="3207835" cy="2381250"/>
            <wp:docPr id="100004" name="" descr="_scroll_external/attachments/image2021-2-18_17-50-32-5c78fd91e2766c36bd19e1b4a6fd9fb7b77b1f0f5bbef5928b80ca1aeea1d0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9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8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我们采用高斯模糊(Gaussian blur)，即使用高斯函数来计算权值。</w:t>
      </w:r>
    </w:p>
    <w:p>
      <w:r>
        <w:t>高斯模糊以其可分离性而广为人知。根据这条性质，我们可以将其分离为两个1D方向上的模糊过程，例如先横向模糊，再纵向模糊。</w:t>
      </w:r>
    </w:p>
    <w:p>
      <w:r>
        <w:t>假设我们一个9x9的矩阵，原本需要81个样本依次执行2D模糊，但分离为两次1D模糊后，我们只需要18个样本。这样大大减少了采样的数量。</w:t>
      </w:r>
    </w:p>
    <w:p>
      <w:r>
        <w:t>即使有些模糊算法不具有分离性，但只要保证最终的视觉效果足够精准，我们也可以分离模糊来优化性能。</w:t>
      </w:r>
    </w:p>
    <w:p/>
    <w:p>
      <w:pPr>
        <w:pStyle w:val="Heading1"/>
      </w:pPr>
      <w:bookmarkStart w:id="11" w:name="scroll-bookmark-11"/>
      <w:r>
        <w:t>渲染到纹理</w:t>
      </w:r>
      <w:bookmarkEnd w:id="11"/>
    </w:p>
    <w:p>
      <w:r>
        <w:t>之前的实例程序在渲染时都是以后台缓冲区作为渲染目标，它其实就是交换链中的一个纹理。其实我们也可以自己创建一个纹理，将其作为渲染目标，绑定到输出合并阶段。这样数据就绘制到了离屏（off-screen）纹理中。这样的操作称为渲染到离屏纹理（render-to-off-screen-texture），简称渲染到纹理（render-to-texture）。</w:t>
      </w:r>
    </w:p>
    <w:p>
      <w:r>
        <w:t>渲染到纹理的常用场景有：</w:t>
      </w:r>
    </w:p>
    <w:p>
      <w:r>
        <w:t>1.阴影贴图(Shadow mapping)</w:t>
      </w:r>
    </w:p>
    <w:p>
      <w:r>
        <w:t>2.屏幕空间环境光遮蔽(Screen Space Ambient Occlusion)</w:t>
      </w:r>
    </w:p>
    <w:p>
      <w:r>
        <w:t>3.动态反射与立方体贴图(Dynamic reflections with cube maps)</w:t>
      </w:r>
    </w:p>
    <w:p>
      <w:r>
        <w:t>我们使用渲染到纹理来实现模糊：先将实际的场景渲染到离屏纹理中，再将该纹理输入至计算着色器执行模糊算法，再将得到的纹理渲染到后台缓冲区。</w:t>
      </w:r>
    </w:p>
    <w:p/>
    <w:p>
      <w:pPr>
        <w:pStyle w:val="Heading1"/>
      </w:pPr>
      <w:bookmarkStart w:id="12" w:name="scroll-bookmark-12"/>
      <w:r>
        <w:t>图像模糊的实现概述</w:t>
      </w:r>
      <w:bookmarkEnd w:id="12"/>
    </w:p>
    <w:p>
      <w:r>
        <w:t>我们将模糊分为两个1D模糊，因此需要两个可读写的纹理缓冲区，A和B，并且我们要为其分别创建SRV和UAV。具体过程为</w:t>
      </w:r>
    </w:p>
    <w:p>
      <w:r>
        <w:t>1.给A绑定SRV，作为计算着色器的输入。</w:t>
      </w:r>
    </w:p>
    <w:p>
      <w:r>
        <w:t>2.给B绑定UAV，作为计算着色器的输出。</w:t>
      </w:r>
    </w:p>
    <w:p>
      <w:r>
        <w:t>3.分派线程组执行横向模糊操作。此时，结果存储在B里。</w:t>
      </w:r>
    </w:p>
    <w:p>
      <w:r>
        <w:t>4.给B绑定SRV，作为计算着色器的输入。</w:t>
      </w:r>
    </w:p>
    <w:p>
      <w:r>
        <w:t>5.给A绑定UAV，作为计算着色器的输出。</w:t>
      </w:r>
    </w:p>
    <w:p>
      <w:r>
        <w:t>6.分派线程组执行纵向模糊操作。此时，我们得到了最终的结果，并保存在A里。</w:t>
      </w:r>
    </w:p>
    <w:p>
      <w:r>
        <w:t>当分派线程时，我们需要计算具体的数量。</w:t>
      </w:r>
    </w:p>
    <w:p>
      <w:r>
        <w:t>设待模糊的图像宽为w，高为h，一个线程组用256个线程，而每个线程负责图像中的一个像素。</w:t>
      </w:r>
    </w:p>
    <w:p>
      <w:r>
        <w:t>因此，我们需要在x方向上派发(w/256)个线程组,向上取整。如果w不能被256整除，则最后一次分派的线程组会存有多余的线程，对于这种情况，我们无能为力。y方向上的情况也与此类似。</w:t>
      </w:r>
    </w:p>
    <w:p>
      <w:r>
        <w:drawing>
          <wp:inline>
            <wp:extent cx="4055145" cy="2381250"/>
            <wp:docPr id="100005" name="" descr="_scroll_external/attachments/image2021-2-18_17-51-49-192856ed190264163d610db91dce81657f8d535898d2be40cdeb1aa6800c8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66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4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We must unbind the resource to be set as shader resource in CS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m_d3dContext-&gt;OMSetRenderTargets(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m_renderTargetView.GetAddressOf(), m_depthStencilView.Get());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Create an intermediate texture to store the first blur result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ComPtr&lt;ID3D11Texture2D&gt; m_offscreenTextureIntermediate;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ComPtr&lt;ID3D11ShaderResourceView&gt; m_offscreenSRVIntermediate;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ComPtr&lt;ID3D11UnorderedAccessView&gt; m_offscreenUAVIntermediate;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DXGI_FORMAT format = DXGI_FORMAT_R8G8B8A8_UNORM;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CD3D11_TEXTURE2D_DESC offscreenDesc(format, m_outputWidth, m_outputHeight);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offscreenDesc.BindFlags = D3D11_BIND_SHADER_RESOURCE | D3D11_BIND_UNORDERED_ACCESS;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HRESULT hr = m_d3dDevice-&gt;CreateTexture2D(&amp;offscreenDesc, nullptr, m_offscreenTextureIntermediate.GetAddressOf());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 = m_d3dDevice-&gt;CreateShaderResourceView(m_offscreenTextureIntermediate.Get(), nullptr, m_offscreenSRVIntermediate.GetAddressOf());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 = m_d3dDevice-&gt;CreateUnorderedAccessView(m_offscreenTextureIntermediate.Get(), nullptr, m_offscreenUAVIntermediate.GetAddressOf());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ID3D11ShaderResourceView* nullSRV[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{ nullptr 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ID3D11UnorderedAccessView* nullUAV[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{ nullptr 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m_d3dContext-&gt;CSSetConstantBuffers(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m_cbBlurSettings.GetAddressOf());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 i &lt; m_blurCount; ++i)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Horizontal blur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m_d3dContext-&gt;CSSetShader(m_horzBlurCS.Get(), nullptr,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m_d3dContext-&gt;CSSetShaderResources(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m_offscreenSRV.GetAddressOf());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m_d3dContext-&gt;CSSetUnorderedAccessViews(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m_offscreenUAVIntermediate.GetAddressOf(), nullptr);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numThreadGroupX = ceil(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(m_outputWidth) /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256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m_d3dContext-&gt;Dispatch(numThreadGroupX, m_outputHeight,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m_d3dContext-&gt;CSSetShaderResources(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nullSRV);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m_d3dContext-&gt;CSSetUnorderedAccessViews(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nullUAV, nullptr);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Vertical blur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m_d3dContext-&gt;CSSetShader(m_vertBlurCS.Get(), nullptr,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m_d3dContext-&gt;CSSetShaderResources(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m_offscreenSRVIntermediate.GetAddressOf());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m_d3dContext-&gt;CSSetUnorderedAccessViews(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m_offscreenUAV.GetAddressOf(), nullptr);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numThreadGroupY = ceil(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(m_outputHeight) /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256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m_d3dContext-&gt;Dispatch(m_outputWidth, numThreadGroupY,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m_d3dContext-&gt;CSSetShaderResources(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nullSRV);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m_d3dContext-&gt;CSSetUnorderedAccessViews(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nullUAV, nullptr);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Disable compute shader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m_d3dContext-&gt;CSSetShader(nullptr, nullptr,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Copy result to back buffer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ComPtr&lt;ID3D11Resource&gt; backBuffer;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m_swapChain-&gt;GetBuffer(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IID_PPV_ARGS(&amp;backBuffer));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m_d3dContext-&gt;CopyResource(backBuffer.Get(), m_offscreenTexture.Get());</w:t>
            </w:r>
          </w:p>
        </w:tc>
      </w:tr>
    </w:tbl>
    <w:p/>
    <w:p/>
    <w:p>
      <w:pPr>
        <w:pStyle w:val="Heading1"/>
      </w:pPr>
      <w:bookmarkStart w:id="13" w:name="scroll-bookmark-13"/>
      <w:r>
        <w:t>模糊的计算着色器</w:t>
      </w:r>
      <w:bookmarkEnd w:id="13"/>
    </w:p>
    <w:p>
      <w:r>
        <w:t>当我们执行模糊运算的时候，n个线程实际需要n+2R个数据（R为模糊半径）。我们只需分配n+2R个元素的共享内存，并且采样的时候让2R个线程多采样一次以获得额外的元素。</w:t>
      </w:r>
    </w:p>
    <w:p>
      <w:r>
        <w:drawing>
          <wp:inline>
            <wp:extent cx="5395595" cy="2350890"/>
            <wp:docPr id="100006" name="" descr="_scroll_external/attachments/image2021-2-18_18-4-51-2eb51c2a7d32c9f06f75ba90b052258065fe4ec7714cc812bd4cadc2581467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95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3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另一个问题则是越界的情况，最左侧和最右侧的线程在采样时会发送越界，获得的结果为0，即黑色。这会影响到边界的模糊结果。我们希望使用类似clamp寻址模式的效果，在越界时获得边界的数据。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Fill local thread storage to reduce bandwidth.  To blur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N pixels, we will need to load N + 2*BlurRadius pixels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due to the blur radius.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This thread group runs N threads.  To get the extra 2*BlurRadius pixels,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have 2*BlurRadius threads sample an extra pixel.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(groupThreadID.x &lt; gBlurRadius)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Clamp out of bound samples that occur at image borders.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x = max(dispatchThreadID.x - gBlurRadius,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gCache[groupThreadID.x] = gInput[int2(x, dispatchThreadID.y)];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(groupThreadID.x &gt;= N-gBlurRadius)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Clamp out of bound samples that occur at image borders.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x = min(dispatchThreadID.x + gBlurRadius, gInput.Length.x-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gCache[groupThreadID.x+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*gBlurRadius] = gInput[int2(x, dispatchThreadID.y)];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Clamp out of bound samples that occur at image borders.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gCache[groupThreadID.x+gBlurRadius] = gInput[min(dispatchThreadID.xy, gInput.Length.xy-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)];</w:t>
            </w:r>
          </w:p>
        </w:tc>
      </w:tr>
    </w:tbl>
    <w:p/>
    <w:sectPr w:rsidSect="008B1C6A">
      <w:headerReference w:type="default" r:id="rId11"/>
      <w:footerReference w:type="default" r:id="rId12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 w14:paraId="59123AE0" w14:textId="19344631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13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 w14:paraId="07479232" w14:textId="6AED8CB0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Huang Bo – 计算着色器及应用：模糊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B1C98"/>
    <w:rsid w:val="000B7C62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4B53"/>
    <w:rsid w:val="003570EA"/>
    <w:rsid w:val="0036214D"/>
    <w:rsid w:val="00374AF9"/>
    <w:rsid w:val="00394C42"/>
    <w:rsid w:val="003E29D9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666A5"/>
    <w:rsid w:val="00EA4AC4"/>
    <w:rsid w:val="00EB34FD"/>
    <w:rsid w:val="00EB7A17"/>
    <w:rsid w:val="00EF235F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109</cp:revision>
  <dcterms:created xsi:type="dcterms:W3CDTF">2016-10-04T14:03:00Z</dcterms:created>
  <dcterms:modified xsi:type="dcterms:W3CDTF">2016-10-07T13:31:00Z</dcterms:modified>
</cp:coreProperties>
</file>