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254C" w:rsidP="009F254C" w:rsidRDefault="009F254C" w14:paraId="00EB883C" w14:textId="58648E01">
      <w:pPr>
        <w:pStyle w:val="Heading1"/>
        <w:jc w:val="center"/>
        <w:rPr>
          <w:b/>
          <w:bCs/>
        </w:rPr>
      </w:pPr>
      <w:r>
        <w:rPr>
          <w:b/>
          <w:bCs/>
        </w:rPr>
        <w:t>NIHL 2024 class</w:t>
      </w:r>
      <w:r w:rsidRPr="009F254C">
        <w:rPr>
          <w:b/>
          <w:bCs/>
        </w:rPr>
        <w:t xml:space="preserve"> d</w:t>
      </w:r>
      <w:r w:rsidR="00DB4178">
        <w:rPr>
          <w:b/>
          <w:bCs/>
        </w:rPr>
        <w:t>escription template</w:t>
      </w:r>
    </w:p>
    <w:p w:rsidR="009F254C" w:rsidP="009F254C" w:rsidRDefault="009F254C" w14:paraId="1B2FEF47" w14:textId="77777777"/>
    <w:p w:rsidRPr="009B1E60" w:rsidR="009B1E60" w:rsidP="009B1E60" w:rsidRDefault="009F254C" w14:paraId="02F8907A" w14:textId="20B324DB">
      <w:pPr>
        <w:pStyle w:val="Heading2"/>
        <w:rPr>
          <w:b/>
          <w:bCs/>
        </w:rPr>
      </w:pPr>
      <w:r w:rsidRPr="009F254C">
        <w:rPr>
          <w:b/>
          <w:bCs/>
        </w:rPr>
        <w:t>Template</w:t>
      </w:r>
    </w:p>
    <w:p w:rsidR="009F254C" w:rsidP="009F254C" w:rsidRDefault="009F254C" w14:paraId="7679DB19" w14:textId="51E5E9D4">
      <w:r>
        <w:t>This {</w:t>
      </w:r>
      <w:r w:rsidR="00D6415D">
        <w:t>e</w:t>
      </w:r>
      <w:r>
        <w:t xml:space="preserve">nter length of </w:t>
      </w:r>
      <w:r w:rsidR="00FE7212">
        <w:t>training</w:t>
      </w:r>
      <w:r>
        <w:t xml:space="preserve">} {enter format of </w:t>
      </w:r>
      <w:r w:rsidR="00FE7212">
        <w:t>training</w:t>
      </w:r>
      <w:r>
        <w:t xml:space="preserve">} will </w:t>
      </w:r>
      <w:r w:rsidR="00A0182C">
        <w:t xml:space="preserve">cover </w:t>
      </w:r>
      <w:r>
        <w:t xml:space="preserve">{enter short </w:t>
      </w:r>
      <w:r w:rsidR="00C85E7D">
        <w:t>training</w:t>
      </w:r>
      <w:r>
        <w:t xml:space="preserve"> description</w:t>
      </w:r>
      <w:r w:rsidR="00231C76">
        <w:t xml:space="preserve"> - this can be multiple sentences</w:t>
      </w:r>
      <w:r>
        <w:t xml:space="preserve">}.  </w:t>
      </w:r>
    </w:p>
    <w:p w:rsidRPr="00884CBA" w:rsidR="00BC67B6" w:rsidP="00BC67B6" w:rsidRDefault="00BC67B6" w14:paraId="4E866B19" w14:textId="251EEB35">
      <w:r>
        <w:t xml:space="preserve">By the end of this </w:t>
      </w:r>
      <w:r w:rsidR="005446FF">
        <w:t>training</w:t>
      </w:r>
      <w:r>
        <w:t xml:space="preserve"> </w:t>
      </w:r>
      <w:r w:rsidR="00324FF4">
        <w:t>attendees</w:t>
      </w:r>
      <w:r>
        <w:t xml:space="preserve"> will be able to:</w:t>
      </w:r>
    </w:p>
    <w:p w:rsidR="009F254C" w:rsidP="009F254C" w:rsidRDefault="009F254C" w14:paraId="5F5959EF" w14:textId="1021FA0B">
      <w:pPr>
        <w:pStyle w:val="ListParagraph"/>
        <w:numPr>
          <w:ilvl w:val="0"/>
          <w:numId w:val="1"/>
        </w:numPr>
      </w:pPr>
      <w:r>
        <w:t>{Objective 1}</w:t>
      </w:r>
    </w:p>
    <w:p w:rsidR="009F254C" w:rsidP="009F254C" w:rsidRDefault="009F254C" w14:paraId="4B9A5FB0" w14:textId="784DAF2C">
      <w:pPr>
        <w:pStyle w:val="ListParagraph"/>
        <w:numPr>
          <w:ilvl w:val="0"/>
          <w:numId w:val="1"/>
        </w:numPr>
      </w:pPr>
      <w:r>
        <w:t>{Objective 2}</w:t>
      </w:r>
    </w:p>
    <w:p w:rsidR="009F254C" w:rsidP="009F254C" w:rsidRDefault="009F254C" w14:paraId="574615E8" w14:textId="7C844C7B">
      <w:pPr>
        <w:pStyle w:val="ListParagraph"/>
        <w:numPr>
          <w:ilvl w:val="0"/>
          <w:numId w:val="1"/>
        </w:numPr>
      </w:pPr>
      <w:r>
        <w:t>{Objective 3}</w:t>
      </w:r>
    </w:p>
    <w:p w:rsidR="00AD22CA" w:rsidP="00AD22CA" w:rsidRDefault="00AD22CA" w14:paraId="7B3A9BE9" w14:textId="5BD1070C">
      <w:r>
        <w:t>Insert guidance on class level from one of the three options that should be customized for the tool/skill you are teaching: (1) Attendees</w:t>
      </w:r>
      <w:r w:rsidRPr="00A02C22">
        <w:t xml:space="preserve"> are not expected to have any prior knowledge of the product/tool</w:t>
      </w:r>
      <w:r>
        <w:t xml:space="preserve"> to be successful in this training</w:t>
      </w:r>
      <w:r>
        <w:t>, (2) Attendees</w:t>
      </w:r>
      <w:r w:rsidRPr="00090F20">
        <w:t xml:space="preserve"> are expected to be familiar with the basic functions of the product/tool</w:t>
      </w:r>
      <w:r>
        <w:t xml:space="preserve"> </w:t>
      </w:r>
      <w:r>
        <w:t>to be successful in this training</w:t>
      </w:r>
      <w:r w:rsidRPr="00090F20">
        <w:t xml:space="preserve"> </w:t>
      </w:r>
      <w:r>
        <w:t>(3)</w:t>
      </w:r>
      <w:r w:rsidRPr="00090F20">
        <w:t xml:space="preserve"> </w:t>
      </w:r>
      <w:r>
        <w:t>Attendees</w:t>
      </w:r>
      <w:r w:rsidRPr="00D277E2">
        <w:t xml:space="preserve"> are expected to be able to independently utilize the product/tool or resource</w:t>
      </w:r>
      <w:r>
        <w:t xml:space="preserve"> </w:t>
      </w:r>
      <w:r>
        <w:t>to be successful in this training</w:t>
      </w:r>
      <w:r w:rsidRPr="00D277E2">
        <w:t>.</w:t>
      </w:r>
    </w:p>
    <w:p w:rsidR="00231C76" w:rsidP="00231C76" w:rsidRDefault="00231C76" w14:paraId="4A1C9ED6" w14:textId="55EC0309">
      <w:r>
        <w:t>Requirement</w:t>
      </w:r>
      <w:r w:rsidR="007156BA">
        <w:t>(s)</w:t>
      </w:r>
      <w:r>
        <w:t xml:space="preserve"> {remove if not applicable}</w:t>
      </w:r>
    </w:p>
    <w:p w:rsidR="007156BA" w:rsidP="007156BA" w:rsidRDefault="007156BA" w14:paraId="7C764429" w14:textId="2E972F98">
      <w:pPr>
        <w:pStyle w:val="ListParagraph"/>
        <w:numPr>
          <w:ilvl w:val="0"/>
          <w:numId w:val="4"/>
        </w:numPr>
      </w:pPr>
      <w:r>
        <w:t>List an</w:t>
      </w:r>
      <w:r w:rsidR="00926DCA">
        <w:t>y</w:t>
      </w:r>
      <w:r>
        <w:t xml:space="preserve"> technology/software requirements</w:t>
      </w:r>
    </w:p>
    <w:p w:rsidR="009F254C" w:rsidP="009F254C" w:rsidRDefault="007156BA" w14:paraId="17AC9F2B" w14:textId="1DB46BA0">
      <w:pPr>
        <w:pStyle w:val="ListParagraph"/>
        <w:numPr>
          <w:ilvl w:val="0"/>
          <w:numId w:val="4"/>
        </w:numPr>
        <w:rPr/>
      </w:pPr>
      <w:r w:rsidR="007156BA">
        <w:rPr/>
        <w:t>List any</w:t>
      </w:r>
      <w:r w:rsidR="00AB56B7">
        <w:rPr/>
        <w:t xml:space="preserve"> additional </w:t>
      </w:r>
      <w:r w:rsidR="007156BA">
        <w:rPr/>
        <w:t>required prior knowledge or coursework</w:t>
      </w:r>
    </w:p>
    <w:p w:rsidR="3598B89F" w:rsidRDefault="3598B89F" w14:paraId="7D69D06C" w14:textId="66D38B7F">
      <w:r>
        <w:br w:type="page"/>
      </w:r>
    </w:p>
    <w:p w:rsidR="009F254C" w:rsidP="009F254C" w:rsidRDefault="009F254C" w14:paraId="67A39686" w14:textId="7E6D286B">
      <w:pPr>
        <w:pStyle w:val="Heading2"/>
        <w:rPr>
          <w:b/>
          <w:bCs/>
        </w:rPr>
      </w:pPr>
      <w:r w:rsidRPr="009F254C">
        <w:rPr>
          <w:b/>
          <w:bCs/>
        </w:rPr>
        <w:t>Example 1</w:t>
      </w:r>
    </w:p>
    <w:p w:rsidRPr="00926DCA" w:rsidR="00926DCA" w:rsidP="00926DCA" w:rsidRDefault="00926DCA" w14:paraId="2593F694" w14:textId="17D6FFD4">
      <w:r w:rsidRPr="00884CBA">
        <w:t>Title: PowerPoint Accessibility: The basics in 20 minutes</w:t>
      </w:r>
    </w:p>
    <w:p w:rsidR="007D4568" w:rsidP="007D4568" w:rsidRDefault="007D4568" w14:paraId="2CF2B95F" w14:textId="1C557C82">
      <w:pPr>
        <w:pStyle w:val="Heading3"/>
      </w:pPr>
      <w:r>
        <w:t>Original course description</w:t>
      </w:r>
    </w:p>
    <w:p w:rsidR="007D4568" w:rsidP="007D4568" w:rsidRDefault="007D4568" w14:paraId="52FF3F27" w14:textId="283B959C">
      <w:r>
        <w:t xml:space="preserve">This short training </w:t>
      </w:r>
      <w:r w:rsidR="005446FF">
        <w:t>session</w:t>
      </w:r>
      <w:r>
        <w:t xml:space="preserve"> introduces </w:t>
      </w:r>
      <w:r w:rsidR="00324FF4">
        <w:t>attendees</w:t>
      </w:r>
      <w:r>
        <w:t xml:space="preserve"> to the best practices for making PowerPoint slides accessible. By the end of this training participants will be able to identify four areas of PowerPoint accessibility: alt text, reading order, color, and tables.</w:t>
      </w:r>
    </w:p>
    <w:p w:rsidR="007D4568" w:rsidP="007D4568" w:rsidRDefault="007D4568" w14:paraId="318321BE" w14:textId="77777777">
      <w:pPr>
        <w:pStyle w:val="Heading3"/>
        <w:rPr>
          <w:shd w:val="clear" w:color="auto" w:fill="FFFFFF"/>
        </w:rPr>
      </w:pPr>
      <w:r>
        <w:rPr>
          <w:shd w:val="clear" w:color="auto" w:fill="FFFFFF"/>
        </w:rPr>
        <w:t>Revised course description using the template</w:t>
      </w:r>
    </w:p>
    <w:p w:rsidRPr="00884CBA" w:rsidR="006C7FA0" w:rsidP="00884CBA" w:rsidRDefault="002A6207" w14:paraId="5B38C7DB" w14:textId="146CBC42">
      <w:r w:rsidRPr="00884CBA">
        <w:t xml:space="preserve">This </w:t>
      </w:r>
      <w:r w:rsidRPr="007D4568">
        <w:rPr>
          <w:highlight w:val="yellow"/>
        </w:rPr>
        <w:t>half hour online</w:t>
      </w:r>
      <w:r w:rsidRPr="00884CBA">
        <w:t xml:space="preserve"> </w:t>
      </w:r>
      <w:r w:rsidR="00C85E7D">
        <w:t>training</w:t>
      </w:r>
      <w:r w:rsidRPr="00884CBA">
        <w:t xml:space="preserve"> introduces </w:t>
      </w:r>
      <w:r w:rsidR="00324FF4">
        <w:t>attendees</w:t>
      </w:r>
      <w:r w:rsidRPr="00884CBA">
        <w:t xml:space="preserve"> to the best practices for making PowerPoint slides accessible. </w:t>
      </w:r>
      <w:r w:rsidRPr="00884CBA" w:rsidR="006C7FA0">
        <w:t xml:space="preserve">The final ten minutes of </w:t>
      </w:r>
      <w:r w:rsidR="00C85E7D">
        <w:t>training</w:t>
      </w:r>
      <w:r w:rsidRPr="00884CBA" w:rsidR="006C7FA0">
        <w:t xml:space="preserve"> is optional and will be reserved for questions. </w:t>
      </w:r>
    </w:p>
    <w:p w:rsidRPr="00E218DC" w:rsidR="006C7FA0" w:rsidP="00884CBA" w:rsidRDefault="00CD00FC" w14:paraId="6CE3D343" w14:textId="643E6467">
      <w:pPr>
        <w:rPr>
          <w:highlight w:val="yellow"/>
        </w:rPr>
      </w:pPr>
      <w:r w:rsidRPr="00E218DC">
        <w:rPr>
          <w:highlight w:val="yellow"/>
        </w:rPr>
        <w:t xml:space="preserve">By the end of this </w:t>
      </w:r>
      <w:r w:rsidRPr="00E218DC" w:rsidR="005446FF">
        <w:rPr>
          <w:highlight w:val="yellow"/>
        </w:rPr>
        <w:t>training</w:t>
      </w:r>
      <w:r w:rsidRPr="00E218DC">
        <w:rPr>
          <w:highlight w:val="yellow"/>
        </w:rPr>
        <w:t xml:space="preserve"> </w:t>
      </w:r>
      <w:r w:rsidR="00324FF4">
        <w:rPr>
          <w:highlight w:val="yellow"/>
        </w:rPr>
        <w:t>attendees</w:t>
      </w:r>
      <w:r w:rsidRPr="00E218DC">
        <w:rPr>
          <w:highlight w:val="yellow"/>
        </w:rPr>
        <w:t xml:space="preserve"> will be able to:</w:t>
      </w:r>
    </w:p>
    <w:p w:rsidR="002A6207" w:rsidP="0003010F" w:rsidRDefault="006C7FA0" w14:paraId="114A93D4" w14:textId="10E74C6A">
      <w:pPr>
        <w:pStyle w:val="ListParagraph"/>
        <w:numPr>
          <w:ilvl w:val="0"/>
          <w:numId w:val="3"/>
        </w:numPr>
        <w:rPr>
          <w:highlight w:val="yellow"/>
        </w:rPr>
      </w:pPr>
      <w:r w:rsidRPr="00E218DC">
        <w:rPr>
          <w:highlight w:val="yellow"/>
        </w:rPr>
        <w:t>I</w:t>
      </w:r>
      <w:r w:rsidRPr="00E218DC" w:rsidR="002A6207">
        <w:rPr>
          <w:highlight w:val="yellow"/>
        </w:rPr>
        <w:t>dentify four areas of PowerPoint accessibility: alt text, reading order, color, and tables</w:t>
      </w:r>
    </w:p>
    <w:p w:rsidRPr="00DE5DD3" w:rsidR="00DE5DD3" w:rsidP="00DE5DD3" w:rsidRDefault="00DE5DD3" w14:paraId="21F0F0D1" w14:textId="2660232E">
      <w:pPr>
        <w:rPr>
          <w:highlight w:val="yellow"/>
        </w:rPr>
      </w:pPr>
      <w:r w:rsidRPr="00DE5DD3">
        <w:rPr>
          <w:highlight w:val="yellow"/>
        </w:rPr>
        <w:t xml:space="preserve">Attendees are not expected to have prior knowledge </w:t>
      </w:r>
      <w:r w:rsidR="007F08BB">
        <w:rPr>
          <w:highlight w:val="yellow"/>
        </w:rPr>
        <w:t xml:space="preserve">of </w:t>
      </w:r>
      <w:r>
        <w:rPr>
          <w:highlight w:val="yellow"/>
        </w:rPr>
        <w:t xml:space="preserve">accessibility </w:t>
      </w:r>
      <w:r w:rsidR="007F08BB">
        <w:rPr>
          <w:highlight w:val="yellow"/>
        </w:rPr>
        <w:t xml:space="preserve">but should be familiar with Microsoft PowerPoint </w:t>
      </w:r>
      <w:r w:rsidRPr="00DE5DD3">
        <w:rPr>
          <w:highlight w:val="yellow"/>
        </w:rPr>
        <w:t>to be successful in this training</w:t>
      </w:r>
      <w:r w:rsidR="007F08BB">
        <w:rPr>
          <w:highlight w:val="yellow"/>
        </w:rPr>
        <w:t>.</w:t>
      </w:r>
    </w:p>
    <w:p w:rsidRPr="00C66F74" w:rsidR="00EE030D" w:rsidP="00C66F74" w:rsidRDefault="007B5B73" w14:paraId="18302EB4" w14:textId="3CEA4A63">
      <w:pPr>
        <w:pStyle w:val="Heading2"/>
        <w:rPr>
          <w:b/>
          <w:bCs/>
          <w:shd w:val="clear" w:color="auto" w:fill="FFFFFF"/>
        </w:rPr>
      </w:pPr>
      <w:r w:rsidRPr="00C66F74">
        <w:rPr>
          <w:b/>
          <w:bCs/>
          <w:shd w:val="clear" w:color="auto" w:fill="FFFFFF"/>
        </w:rPr>
        <w:t xml:space="preserve">Example </w:t>
      </w:r>
      <w:r w:rsidRPr="00C66F74" w:rsidR="00952101">
        <w:rPr>
          <w:b/>
          <w:bCs/>
          <w:shd w:val="clear" w:color="auto" w:fill="FFFFFF"/>
        </w:rPr>
        <w:t xml:space="preserve">2 </w:t>
      </w:r>
    </w:p>
    <w:p w:rsidRPr="00C66F74" w:rsidR="00CF5F88" w:rsidP="00EE030D" w:rsidRDefault="00C66F74" w14:paraId="2B5A109A" w14:textId="6B4280B0">
      <w:pPr>
        <w:rPr>
          <w:rFonts w:cstheme="minorHAnsi"/>
          <w:strike/>
          <w:color w:val="1B1B1B"/>
          <w:shd w:val="clear" w:color="auto" w:fill="FFFFFF"/>
        </w:rPr>
      </w:pPr>
      <w:r w:rsidRPr="00C66F74">
        <w:rPr>
          <w:rFonts w:cstheme="minorHAnsi"/>
          <w:color w:val="1B1B1B"/>
          <w:shd w:val="clear" w:color="auto" w:fill="FFFFFF"/>
        </w:rPr>
        <w:t>Title: Gray Literature: Searching Beyond the Databases</w:t>
      </w:r>
    </w:p>
    <w:p w:rsidRPr="0073550D" w:rsidR="00EE030D" w:rsidP="005A31B6" w:rsidRDefault="00EE030D" w14:paraId="455D81D9" w14:textId="124FAE6E">
      <w:pPr>
        <w:pStyle w:val="Heading3"/>
        <w:rPr>
          <w:b/>
          <w:bCs/>
          <w:shd w:val="clear" w:color="auto" w:fill="FFFFFF"/>
        </w:rPr>
      </w:pPr>
      <w:r w:rsidRPr="0073550D">
        <w:rPr>
          <w:b/>
          <w:bCs/>
          <w:shd w:val="clear" w:color="auto" w:fill="FFFFFF"/>
        </w:rPr>
        <w:lastRenderedPageBreak/>
        <w:t xml:space="preserve">Original </w:t>
      </w:r>
      <w:r w:rsidRPr="0073550D" w:rsidR="005A31B6">
        <w:rPr>
          <w:b/>
          <w:bCs/>
          <w:shd w:val="clear" w:color="auto" w:fill="FFFFFF"/>
        </w:rPr>
        <w:t>course description</w:t>
      </w:r>
    </w:p>
    <w:p w:rsidRPr="0073550D" w:rsidR="0073550D" w:rsidP="0073550D" w:rsidRDefault="0073550D" w14:paraId="1D0E88C4" w14:textId="74D1424A">
      <w:r w:rsidRPr="0073550D">
        <w:t>Gray literature is not controlled by commercial publishers and usually is not peer reviewed. However, gray literature can help identify useful information outside the published, peer reviewed articles through reports, dissertations, conference abstracts, official documents, research-in-progress, and clinical trials. It might get you information you would never find in traditional sources. This workshop will focus on how to find credible gray literature for your research topic or for part of a systematic review. Learning Objectives: learn how to identify and find gray literature; and learn how to cite gray literature in your proposal or manuscript.</w:t>
      </w:r>
    </w:p>
    <w:p w:rsidRPr="0073550D" w:rsidR="005A31B6" w:rsidP="003668BC" w:rsidRDefault="005A31B6" w14:paraId="1D42CFF5" w14:textId="68BA3666">
      <w:pPr>
        <w:pStyle w:val="Heading3"/>
        <w:rPr>
          <w:b/>
          <w:bCs/>
          <w:shd w:val="clear" w:color="auto" w:fill="FFFFFF"/>
        </w:rPr>
      </w:pPr>
      <w:r w:rsidRPr="0073550D">
        <w:rPr>
          <w:b/>
          <w:bCs/>
          <w:shd w:val="clear" w:color="auto" w:fill="FFFFFF"/>
        </w:rPr>
        <w:t>Revised course description using the template</w:t>
      </w:r>
    </w:p>
    <w:p w:rsidR="0073550D" w:rsidP="0073550D" w:rsidRDefault="00A00F8D" w14:paraId="4F9C56AC" w14:textId="2E1E55E2">
      <w:r>
        <w:rPr>
          <w:highlight w:val="yellow"/>
        </w:rPr>
        <w:t>T</w:t>
      </w:r>
      <w:r w:rsidRPr="007332A5" w:rsidR="007332A5">
        <w:rPr>
          <w:highlight w:val="yellow"/>
        </w:rPr>
        <w:t xml:space="preserve">his one-hour </w:t>
      </w:r>
      <w:r w:rsidRPr="00D25024" w:rsidR="007332A5">
        <w:rPr>
          <w:highlight w:val="yellow"/>
        </w:rPr>
        <w:t>online tr</w:t>
      </w:r>
      <w:r w:rsidRPr="00D25024" w:rsidR="00384EDF">
        <w:rPr>
          <w:highlight w:val="yellow"/>
        </w:rPr>
        <w:t>aining will focus on how to find credible gray literature for your research topic or for part of a systematic review</w:t>
      </w:r>
      <w:r w:rsidRPr="0073550D" w:rsidR="00384EDF">
        <w:t xml:space="preserve">. </w:t>
      </w:r>
      <w:r w:rsidRPr="0073550D" w:rsidR="0073550D">
        <w:t xml:space="preserve">Gray literature is not controlled by commercial publishers and usually is not peer reviewed. However, gray literature can help identify useful information outside the published, peer reviewed articles through reports, dissertations, conference abstracts, official documents, research-in-progress, and clinical trials. It might get you information you would never find in traditional sources. </w:t>
      </w:r>
    </w:p>
    <w:p w:rsidR="00D25024" w:rsidP="0073550D" w:rsidRDefault="00D25024" w14:paraId="7AE2E8EC" w14:textId="087F5917">
      <w:r w:rsidRPr="00D25024">
        <w:rPr>
          <w:highlight w:val="yellow"/>
        </w:rPr>
        <w:t xml:space="preserve">By the end of this training </w:t>
      </w:r>
      <w:r w:rsidR="00324FF4">
        <w:rPr>
          <w:highlight w:val="yellow"/>
        </w:rPr>
        <w:t>attendees</w:t>
      </w:r>
      <w:r w:rsidRPr="00D25024">
        <w:rPr>
          <w:highlight w:val="yellow"/>
        </w:rPr>
        <w:t xml:space="preserve"> will be able to:</w:t>
      </w:r>
    </w:p>
    <w:p w:rsidR="002F6DBA" w:rsidP="00D25024" w:rsidRDefault="002F6DBA" w14:paraId="4976A207" w14:textId="21F9D68B">
      <w:pPr>
        <w:pStyle w:val="ListParagraph"/>
        <w:numPr>
          <w:ilvl w:val="0"/>
          <w:numId w:val="3"/>
        </w:numPr>
        <w:rPr>
          <w:highlight w:val="yellow"/>
        </w:rPr>
      </w:pPr>
      <w:r>
        <w:rPr>
          <w:highlight w:val="yellow"/>
        </w:rPr>
        <w:t xml:space="preserve">Define </w:t>
      </w:r>
      <w:r w:rsidRPr="00D25024">
        <w:rPr>
          <w:highlight w:val="yellow"/>
        </w:rPr>
        <w:t>gray literature</w:t>
      </w:r>
    </w:p>
    <w:p w:rsidRPr="00D25024" w:rsidR="00D25024" w:rsidP="00D25024" w:rsidRDefault="002F6DBA" w14:paraId="69C63A9D" w14:textId="4D78F35A">
      <w:pPr>
        <w:pStyle w:val="ListParagraph"/>
        <w:numPr>
          <w:ilvl w:val="0"/>
          <w:numId w:val="3"/>
        </w:numPr>
        <w:rPr>
          <w:highlight w:val="yellow"/>
        </w:rPr>
      </w:pPr>
      <w:r>
        <w:rPr>
          <w:highlight w:val="yellow"/>
        </w:rPr>
        <w:t>Locate</w:t>
      </w:r>
      <w:r w:rsidRPr="00D25024" w:rsidR="005446FF">
        <w:rPr>
          <w:highlight w:val="yellow"/>
        </w:rPr>
        <w:t xml:space="preserve"> gray literature</w:t>
      </w:r>
    </w:p>
    <w:p w:rsidR="005A31B6" w:rsidP="001A203E" w:rsidRDefault="009C3BD6" w14:paraId="2226849A" w14:textId="20379293">
      <w:pPr>
        <w:pStyle w:val="ListParagraph"/>
        <w:numPr>
          <w:ilvl w:val="0"/>
          <w:numId w:val="3"/>
        </w:numPr>
      </w:pPr>
      <w:r>
        <w:rPr>
          <w:highlight w:val="yellow"/>
        </w:rPr>
        <w:t>C</w:t>
      </w:r>
      <w:r w:rsidRPr="009C3BD6" w:rsidR="005446FF">
        <w:rPr>
          <w:highlight w:val="yellow"/>
        </w:rPr>
        <w:t xml:space="preserve">ite gray literature </w:t>
      </w:r>
    </w:p>
    <w:p w:rsidRPr="000E02D6" w:rsidR="000E02D6" w:rsidP="000E02D6" w:rsidRDefault="000E02D6" w14:paraId="76DC2E2E" w14:textId="1637FD3E">
      <w:pPr>
        <w:rPr>
          <w:highlight w:val="yellow"/>
        </w:rPr>
      </w:pPr>
      <w:r w:rsidRPr="000E02D6">
        <w:rPr>
          <w:highlight w:val="yellow"/>
        </w:rPr>
        <w:t xml:space="preserve">Attendees are not expected to have prior knowledge of </w:t>
      </w:r>
      <w:r>
        <w:rPr>
          <w:highlight w:val="yellow"/>
        </w:rPr>
        <w:t>grey literature</w:t>
      </w:r>
      <w:r w:rsidRPr="000E02D6">
        <w:rPr>
          <w:highlight w:val="yellow"/>
        </w:rPr>
        <w:t xml:space="preserve"> to be successful in this training.</w:t>
      </w:r>
    </w:p>
    <w:p w:rsidRPr="00EE030D" w:rsidR="000E02D6" w:rsidP="000E02D6" w:rsidRDefault="000E02D6" w14:paraId="7315EAC2" w14:textId="77777777"/>
    <w:p w:rsidR="004556A0" w:rsidP="004556A0" w:rsidRDefault="004556A0" w14:paraId="2D90951E" w14:textId="7D46701C">
      <w:pPr>
        <w:pStyle w:val="Heading2"/>
        <w:rPr>
          <w:b/>
          <w:bCs/>
        </w:rPr>
      </w:pPr>
      <w:r w:rsidRPr="009F254C">
        <w:rPr>
          <w:b/>
          <w:bCs/>
        </w:rPr>
        <w:t xml:space="preserve">Example </w:t>
      </w:r>
      <w:r w:rsidR="00EE030D">
        <w:rPr>
          <w:b/>
          <w:bCs/>
        </w:rPr>
        <w:t>3</w:t>
      </w:r>
    </w:p>
    <w:p w:rsidR="001E1A82" w:rsidP="00921334" w:rsidRDefault="00921334" w14:paraId="5E495AB8" w14:textId="41FA34F8">
      <w:r>
        <w:t xml:space="preserve">Title: Basic Single Cell RNA-Seq Analysis &amp; Visualization in </w:t>
      </w:r>
      <w:proofErr w:type="spellStart"/>
      <w:r>
        <w:t>Partek</w:t>
      </w:r>
      <w:proofErr w:type="spellEnd"/>
      <w:r>
        <w:t xml:space="preserve"> Flow</w:t>
      </w:r>
    </w:p>
    <w:p w:rsidR="00952101" w:rsidP="00952101" w:rsidRDefault="001E1A82" w14:paraId="195647BF" w14:textId="77777777">
      <w:pPr>
        <w:pStyle w:val="Heading3"/>
        <w:rPr>
          <w:b/>
          <w:bCs/>
        </w:rPr>
      </w:pPr>
      <w:r w:rsidRPr="001E1A82">
        <w:rPr>
          <w:b/>
          <w:bCs/>
        </w:rPr>
        <w:t xml:space="preserve">Original course description: </w:t>
      </w:r>
    </w:p>
    <w:p w:rsidRPr="006719A1" w:rsidR="00C64C2D" w:rsidP="00952101" w:rsidRDefault="00C64C2D" w14:paraId="320F422E" w14:textId="6F59569B">
      <w:pPr>
        <w:pStyle w:val="Heading3"/>
        <w:rPr>
          <w:b/>
          <w:bCs/>
          <w:sz w:val="22"/>
          <w:szCs w:val="22"/>
        </w:rPr>
      </w:pPr>
      <w:r w:rsidRPr="006719A1">
        <w:rPr>
          <w:rFonts w:asciiTheme="minorHAnsi" w:hAnsiTheme="minorHAnsi" w:cstheme="minorHAnsi"/>
          <w:color w:val="1B1B1B"/>
          <w:sz w:val="22"/>
          <w:szCs w:val="22"/>
        </w:rPr>
        <w:t>This class will provide a demonstration of how to identify cell types based on statistics, visualization, and canonical markers. One Peripheral blood mononuclear cells (PBMCs) sample will be used to illustrate a basic Single Cell RNA-Seq analysis pipeline. </w:t>
      </w:r>
      <w:proofErr w:type="spellStart"/>
      <w:r w:rsidRPr="006719A1">
        <w:rPr>
          <w:rFonts w:asciiTheme="minorHAnsi" w:hAnsiTheme="minorHAnsi" w:cstheme="minorHAnsi"/>
          <w:color w:val="1B1B1B"/>
          <w:sz w:val="22"/>
          <w:szCs w:val="22"/>
        </w:rPr>
        <w:fldChar w:fldCharType="begin"/>
      </w:r>
      <w:r w:rsidRPr="006719A1">
        <w:rPr>
          <w:rFonts w:asciiTheme="minorHAnsi" w:hAnsiTheme="minorHAnsi" w:cstheme="minorHAnsi"/>
          <w:color w:val="1B1B1B"/>
          <w:sz w:val="22"/>
          <w:szCs w:val="22"/>
        </w:rPr>
        <w:instrText>HYPERLINK "https://www.nihlibrary.nih.gov/resources/tools/partek-flow"</w:instrText>
      </w:r>
      <w:r w:rsidRPr="006719A1">
        <w:rPr>
          <w:rFonts w:asciiTheme="minorHAnsi" w:hAnsiTheme="minorHAnsi" w:cstheme="minorHAnsi"/>
          <w:color w:val="1B1B1B"/>
          <w:sz w:val="22"/>
          <w:szCs w:val="22"/>
        </w:rPr>
      </w:r>
      <w:r w:rsidRPr="006719A1">
        <w:rPr>
          <w:rFonts w:asciiTheme="minorHAnsi" w:hAnsiTheme="minorHAnsi" w:cstheme="minorHAnsi"/>
          <w:color w:val="1B1B1B"/>
          <w:sz w:val="22"/>
          <w:szCs w:val="22"/>
        </w:rPr>
        <w:fldChar w:fldCharType="separate"/>
      </w:r>
      <w:r w:rsidRPr="006719A1">
        <w:rPr>
          <w:rStyle w:val="Hyperlink"/>
          <w:rFonts w:asciiTheme="minorHAnsi" w:hAnsiTheme="minorHAnsi" w:cstheme="minorHAnsi"/>
          <w:color w:val="168092"/>
          <w:sz w:val="22"/>
          <w:szCs w:val="22"/>
        </w:rPr>
        <w:t>Partek</w:t>
      </w:r>
      <w:proofErr w:type="spellEnd"/>
      <w:r w:rsidRPr="006719A1">
        <w:rPr>
          <w:rStyle w:val="Hyperlink"/>
          <w:rFonts w:asciiTheme="minorHAnsi" w:hAnsiTheme="minorHAnsi" w:cstheme="minorHAnsi"/>
          <w:color w:val="168092"/>
          <w:sz w:val="22"/>
          <w:szCs w:val="22"/>
        </w:rPr>
        <w:t xml:space="preserve"> Flow</w:t>
      </w:r>
      <w:r w:rsidRPr="006719A1">
        <w:rPr>
          <w:rFonts w:asciiTheme="minorHAnsi" w:hAnsiTheme="minorHAnsi" w:cstheme="minorHAnsi"/>
          <w:color w:val="1B1B1B"/>
          <w:sz w:val="22"/>
          <w:szCs w:val="22"/>
        </w:rPr>
        <w:fldChar w:fldCharType="end"/>
      </w:r>
      <w:r w:rsidRPr="006719A1">
        <w:rPr>
          <w:rFonts w:asciiTheme="minorHAnsi" w:hAnsiTheme="minorHAnsi" w:cstheme="minorHAnsi"/>
          <w:color w:val="1B1B1B"/>
          <w:sz w:val="22"/>
          <w:szCs w:val="22"/>
        </w:rPr>
        <w:t xml:space="preserve"> is a web-based application for the analysis of next generation sequencing (NGS) including RNA, small RNA, and DNA sequencing. With an easy-to-use graphical interface and the ability to build custom analysis pipelines, </w:t>
      </w:r>
      <w:proofErr w:type="spellStart"/>
      <w:r w:rsidRPr="006719A1">
        <w:rPr>
          <w:rFonts w:asciiTheme="minorHAnsi" w:hAnsiTheme="minorHAnsi" w:cstheme="minorHAnsi"/>
          <w:color w:val="1B1B1B"/>
          <w:sz w:val="22"/>
          <w:szCs w:val="22"/>
        </w:rPr>
        <w:t>Partek</w:t>
      </w:r>
      <w:proofErr w:type="spellEnd"/>
      <w:r w:rsidRPr="006719A1">
        <w:rPr>
          <w:rFonts w:asciiTheme="minorHAnsi" w:hAnsiTheme="minorHAnsi" w:cstheme="minorHAnsi"/>
          <w:color w:val="1B1B1B"/>
          <w:sz w:val="22"/>
          <w:szCs w:val="22"/>
        </w:rPr>
        <w:t xml:space="preserve"> Flow enables users to carry out routine NGS data analysis using dozens of popular algorithms without writing codes or running command lines tools.  </w:t>
      </w:r>
      <w:r w:rsidR="00324FF4">
        <w:rPr>
          <w:rFonts w:asciiTheme="minorHAnsi" w:hAnsiTheme="minorHAnsi" w:cstheme="minorHAnsi"/>
          <w:color w:val="1B1B1B"/>
          <w:sz w:val="22"/>
          <w:szCs w:val="22"/>
        </w:rPr>
        <w:t>Attendees</w:t>
      </w:r>
      <w:r w:rsidRPr="006719A1">
        <w:rPr>
          <w:rFonts w:asciiTheme="minorHAnsi" w:hAnsiTheme="minorHAnsi" w:cstheme="minorHAnsi"/>
          <w:color w:val="1B1B1B"/>
          <w:sz w:val="22"/>
          <w:szCs w:val="22"/>
        </w:rPr>
        <w:t xml:space="preserve"> will need to have taken the </w:t>
      </w:r>
      <w:proofErr w:type="spellStart"/>
      <w:r w:rsidRPr="006719A1">
        <w:rPr>
          <w:rFonts w:asciiTheme="minorHAnsi" w:hAnsiTheme="minorHAnsi" w:cstheme="minorHAnsi"/>
          <w:color w:val="1B1B1B"/>
          <w:sz w:val="22"/>
          <w:szCs w:val="22"/>
        </w:rPr>
        <w:t>Partek</w:t>
      </w:r>
      <w:proofErr w:type="spellEnd"/>
      <w:r w:rsidRPr="006719A1">
        <w:rPr>
          <w:rFonts w:asciiTheme="minorHAnsi" w:hAnsiTheme="minorHAnsi" w:cstheme="minorHAnsi"/>
          <w:color w:val="1B1B1B"/>
          <w:sz w:val="22"/>
          <w:szCs w:val="22"/>
        </w:rPr>
        <w:t xml:space="preserve"> Flow Basic Components class before registering or be comfortable with </w:t>
      </w:r>
      <w:proofErr w:type="spellStart"/>
      <w:r w:rsidRPr="006719A1">
        <w:rPr>
          <w:rFonts w:asciiTheme="minorHAnsi" w:hAnsiTheme="minorHAnsi" w:cstheme="minorHAnsi"/>
          <w:color w:val="1B1B1B"/>
          <w:sz w:val="22"/>
          <w:szCs w:val="22"/>
        </w:rPr>
        <w:t>Partek</w:t>
      </w:r>
      <w:proofErr w:type="spellEnd"/>
      <w:r w:rsidRPr="006719A1">
        <w:rPr>
          <w:rFonts w:asciiTheme="minorHAnsi" w:hAnsiTheme="minorHAnsi" w:cstheme="minorHAnsi"/>
          <w:color w:val="1B1B1B"/>
          <w:sz w:val="22"/>
          <w:szCs w:val="22"/>
        </w:rPr>
        <w:t xml:space="preserve"> Flow.</w:t>
      </w:r>
    </w:p>
    <w:p w:rsidRPr="0073550D" w:rsidR="001E1A82" w:rsidP="0073550D" w:rsidRDefault="00C64C2D" w14:paraId="4FB5731A" w14:textId="61B9403B">
      <w:pPr>
        <w:shd w:val="clear" w:color="auto" w:fill="FFFFFF"/>
        <w:spacing w:before="100" w:beforeAutospacing="1" w:after="100" w:afterAutospacing="1"/>
        <w:rPr>
          <w:rFonts w:cstheme="minorHAnsi"/>
          <w:color w:val="1B1B1B"/>
        </w:rPr>
      </w:pPr>
      <w:r w:rsidRPr="00952101">
        <w:rPr>
          <w:rFonts w:cstheme="minorHAnsi"/>
          <w:color w:val="1B1B1B"/>
        </w:rPr>
        <w:t xml:space="preserve">By the end of this class, </w:t>
      </w:r>
      <w:r w:rsidR="00324FF4">
        <w:rPr>
          <w:rFonts w:cstheme="minorHAnsi"/>
          <w:color w:val="1B1B1B"/>
        </w:rPr>
        <w:t>attendees</w:t>
      </w:r>
      <w:r w:rsidRPr="00952101">
        <w:rPr>
          <w:rFonts w:cstheme="minorHAnsi"/>
          <w:color w:val="1B1B1B"/>
        </w:rPr>
        <w:t xml:space="preserve"> will be able describe how to access </w:t>
      </w:r>
      <w:proofErr w:type="spellStart"/>
      <w:r w:rsidRPr="00952101">
        <w:rPr>
          <w:rFonts w:cstheme="minorHAnsi"/>
          <w:color w:val="1B1B1B"/>
        </w:rPr>
        <w:t>Partek</w:t>
      </w:r>
      <w:proofErr w:type="spellEnd"/>
      <w:r w:rsidRPr="00952101">
        <w:rPr>
          <w:rFonts w:cstheme="minorHAnsi"/>
          <w:color w:val="1B1B1B"/>
        </w:rPr>
        <w:t xml:space="preserve"> Flow from the NIH Library, discuss the Quality Control (QC) and Quality Assurance (QA) tools, identify pre- and post-alignment tools, describe options for quantification and normalization, and perform pathway analysis and visualization.</w:t>
      </w:r>
    </w:p>
    <w:p w:rsidRPr="001E1A82" w:rsidR="001E1A82" w:rsidP="001E1A82" w:rsidRDefault="001E1A82" w14:paraId="4F4C6136" w14:textId="092D9D23">
      <w:pPr>
        <w:pStyle w:val="Heading3"/>
        <w:rPr>
          <w:b/>
          <w:bCs/>
        </w:rPr>
      </w:pPr>
      <w:r w:rsidRPr="001E1A82">
        <w:rPr>
          <w:b/>
          <w:bCs/>
        </w:rPr>
        <w:t>Revised course description</w:t>
      </w:r>
    </w:p>
    <w:p w:rsidR="00C460FD" w:rsidP="00921334" w:rsidRDefault="00921334" w14:paraId="3D0DAB61" w14:textId="12303C71">
      <w:r>
        <w:t xml:space="preserve">This </w:t>
      </w:r>
      <w:r w:rsidRPr="001E1A82">
        <w:rPr>
          <w:highlight w:val="yellow"/>
        </w:rPr>
        <w:t>three</w:t>
      </w:r>
      <w:r w:rsidR="007F3DDD">
        <w:rPr>
          <w:highlight w:val="yellow"/>
        </w:rPr>
        <w:t>-</w:t>
      </w:r>
      <w:r w:rsidRPr="001E1A82">
        <w:rPr>
          <w:highlight w:val="yellow"/>
        </w:rPr>
        <w:t xml:space="preserve">hour in person </w:t>
      </w:r>
      <w:r w:rsidRPr="001E1A82" w:rsidR="001E1A82">
        <w:rPr>
          <w:highlight w:val="yellow"/>
        </w:rPr>
        <w:t>training</w:t>
      </w:r>
      <w:r>
        <w:t xml:space="preserve"> will provide a demonstration of how to identify cell types based on statistics, visualization, and canonical markers. One Peripheral blood mononuclear cells (PBMCs) sample will be used to illustrate a basic Single Cell RNA-Seq analysis pipeline. </w:t>
      </w:r>
      <w:proofErr w:type="spellStart"/>
      <w:r>
        <w:t>Partek</w:t>
      </w:r>
      <w:proofErr w:type="spellEnd"/>
      <w:r>
        <w:t xml:space="preserve"> Flow is a web-based </w:t>
      </w:r>
      <w:r>
        <w:lastRenderedPageBreak/>
        <w:t xml:space="preserve">application for the analysis of next generation sequencing (NGS) including RNA, small RNA, and DNA sequencing. With an easy-to-use graphical interface and the ability to build custom analysis pipelines, </w:t>
      </w:r>
      <w:proofErr w:type="spellStart"/>
      <w:r>
        <w:t>Partek</w:t>
      </w:r>
      <w:proofErr w:type="spellEnd"/>
      <w:r>
        <w:t xml:space="preserve"> Flow enables users to carry out routine NGS data analysis using dozens of popular algorithms without writing codes or running command lines tools.  </w:t>
      </w:r>
    </w:p>
    <w:p w:rsidRPr="001E1A82" w:rsidR="00CD00FC" w:rsidP="00CD00FC" w:rsidRDefault="00CD00FC" w14:paraId="24028461" w14:textId="6CA9514B">
      <w:pPr>
        <w:rPr>
          <w:highlight w:val="yellow"/>
        </w:rPr>
      </w:pPr>
      <w:r w:rsidRPr="001E1A82">
        <w:rPr>
          <w:highlight w:val="yellow"/>
        </w:rPr>
        <w:t xml:space="preserve">By the end of this </w:t>
      </w:r>
      <w:r w:rsidR="005446FF">
        <w:rPr>
          <w:highlight w:val="yellow"/>
        </w:rPr>
        <w:t>training</w:t>
      </w:r>
      <w:r w:rsidRPr="001E1A82">
        <w:rPr>
          <w:highlight w:val="yellow"/>
        </w:rPr>
        <w:t xml:space="preserve"> </w:t>
      </w:r>
      <w:r w:rsidR="00324FF4">
        <w:rPr>
          <w:highlight w:val="yellow"/>
        </w:rPr>
        <w:t>attendees</w:t>
      </w:r>
      <w:r w:rsidRPr="001E1A82">
        <w:rPr>
          <w:highlight w:val="yellow"/>
        </w:rPr>
        <w:t xml:space="preserve"> will be able to:</w:t>
      </w:r>
    </w:p>
    <w:p w:rsidRPr="001E1A82" w:rsidR="000A032B" w:rsidP="000A032B" w:rsidRDefault="000A032B" w14:paraId="00C03F16" w14:textId="77777777">
      <w:pPr>
        <w:pStyle w:val="ListParagraph"/>
        <w:numPr>
          <w:ilvl w:val="0"/>
          <w:numId w:val="3"/>
        </w:numPr>
        <w:rPr>
          <w:highlight w:val="yellow"/>
        </w:rPr>
      </w:pPr>
      <w:r w:rsidRPr="001E1A82">
        <w:rPr>
          <w:highlight w:val="yellow"/>
        </w:rPr>
        <w:t>D</w:t>
      </w:r>
      <w:r w:rsidRPr="001E1A82" w:rsidR="00921334">
        <w:rPr>
          <w:highlight w:val="yellow"/>
        </w:rPr>
        <w:t xml:space="preserve">escribe how to access </w:t>
      </w:r>
      <w:proofErr w:type="spellStart"/>
      <w:r w:rsidRPr="001E1A82" w:rsidR="00921334">
        <w:rPr>
          <w:highlight w:val="yellow"/>
        </w:rPr>
        <w:t>Partek</w:t>
      </w:r>
      <w:proofErr w:type="spellEnd"/>
      <w:r w:rsidRPr="001E1A82" w:rsidR="00921334">
        <w:rPr>
          <w:highlight w:val="yellow"/>
        </w:rPr>
        <w:t xml:space="preserve"> Flow from the NIH Library</w:t>
      </w:r>
    </w:p>
    <w:p w:rsidRPr="001E1A82" w:rsidR="00CD00FC" w:rsidP="000A032B" w:rsidRDefault="000A032B" w14:paraId="3A219C84" w14:textId="77777777">
      <w:pPr>
        <w:pStyle w:val="ListParagraph"/>
        <w:numPr>
          <w:ilvl w:val="0"/>
          <w:numId w:val="3"/>
        </w:numPr>
        <w:rPr>
          <w:highlight w:val="yellow"/>
        </w:rPr>
      </w:pPr>
      <w:r w:rsidRPr="001E1A82">
        <w:rPr>
          <w:highlight w:val="yellow"/>
        </w:rPr>
        <w:t>D</w:t>
      </w:r>
      <w:r w:rsidRPr="001E1A82" w:rsidR="00921334">
        <w:rPr>
          <w:highlight w:val="yellow"/>
        </w:rPr>
        <w:t>iscuss the Quality Control (QC) and Quality Assurance (QA) tools</w:t>
      </w:r>
    </w:p>
    <w:p w:rsidRPr="001E1A82" w:rsidR="00CD00FC" w:rsidP="000A032B" w:rsidRDefault="00CD00FC" w14:paraId="4322CB48" w14:textId="77777777">
      <w:pPr>
        <w:pStyle w:val="ListParagraph"/>
        <w:numPr>
          <w:ilvl w:val="0"/>
          <w:numId w:val="3"/>
        </w:numPr>
        <w:rPr>
          <w:highlight w:val="yellow"/>
        </w:rPr>
      </w:pPr>
      <w:r w:rsidRPr="001E1A82">
        <w:rPr>
          <w:highlight w:val="yellow"/>
        </w:rPr>
        <w:t>I</w:t>
      </w:r>
      <w:r w:rsidRPr="001E1A82" w:rsidR="00921334">
        <w:rPr>
          <w:highlight w:val="yellow"/>
        </w:rPr>
        <w:t>dentify pre- and post-alignment tools</w:t>
      </w:r>
    </w:p>
    <w:p w:rsidRPr="001E1A82" w:rsidR="00CD00FC" w:rsidP="000A032B" w:rsidRDefault="00CD00FC" w14:paraId="7752F692" w14:textId="77777777">
      <w:pPr>
        <w:pStyle w:val="ListParagraph"/>
        <w:numPr>
          <w:ilvl w:val="0"/>
          <w:numId w:val="3"/>
        </w:numPr>
        <w:rPr>
          <w:highlight w:val="yellow"/>
        </w:rPr>
      </w:pPr>
      <w:r w:rsidRPr="001E1A82">
        <w:rPr>
          <w:highlight w:val="yellow"/>
        </w:rPr>
        <w:t>D</w:t>
      </w:r>
      <w:r w:rsidRPr="001E1A82" w:rsidR="00921334">
        <w:rPr>
          <w:highlight w:val="yellow"/>
        </w:rPr>
        <w:t>escribe options for quantification and normalization</w:t>
      </w:r>
    </w:p>
    <w:p w:rsidR="009F254C" w:rsidP="000A032B" w:rsidRDefault="00CD00FC" w14:paraId="55AB1F8F" w14:textId="44CA4589">
      <w:pPr>
        <w:pStyle w:val="ListParagraph"/>
        <w:numPr>
          <w:ilvl w:val="0"/>
          <w:numId w:val="3"/>
        </w:numPr>
        <w:rPr>
          <w:highlight w:val="yellow"/>
        </w:rPr>
      </w:pPr>
      <w:r w:rsidRPr="001E1A82">
        <w:rPr>
          <w:highlight w:val="yellow"/>
        </w:rPr>
        <w:t>P</w:t>
      </w:r>
      <w:r w:rsidRPr="001E1A82" w:rsidR="00921334">
        <w:rPr>
          <w:highlight w:val="yellow"/>
        </w:rPr>
        <w:t>erform pathway analysis and visualization.</w:t>
      </w:r>
    </w:p>
    <w:p w:rsidR="000C232B" w:rsidP="000C232B" w:rsidRDefault="000C232B" w14:paraId="322B00AC" w14:textId="3180B03F">
      <w:r w:rsidRPr="000C232B">
        <w:rPr>
          <w:highlight w:val="yellow"/>
        </w:rPr>
        <w:t xml:space="preserve">Requirements: </w:t>
      </w:r>
      <w:r w:rsidR="00324FF4">
        <w:rPr>
          <w:highlight w:val="yellow"/>
        </w:rPr>
        <w:t>Attendees</w:t>
      </w:r>
      <w:r w:rsidRPr="000C232B">
        <w:rPr>
          <w:highlight w:val="yellow"/>
        </w:rPr>
        <w:t xml:space="preserve"> will need to have taken the </w:t>
      </w:r>
      <w:proofErr w:type="spellStart"/>
      <w:r w:rsidRPr="000C232B">
        <w:rPr>
          <w:highlight w:val="yellow"/>
        </w:rPr>
        <w:t>Partek</w:t>
      </w:r>
      <w:proofErr w:type="spellEnd"/>
      <w:r w:rsidRPr="000C232B">
        <w:rPr>
          <w:highlight w:val="yellow"/>
        </w:rPr>
        <w:t xml:space="preserve"> Flow Basic Components class before registering or be comfortable with </w:t>
      </w:r>
      <w:proofErr w:type="spellStart"/>
      <w:r w:rsidRPr="000C232B">
        <w:rPr>
          <w:highlight w:val="yellow"/>
        </w:rPr>
        <w:t>Partek</w:t>
      </w:r>
      <w:proofErr w:type="spellEnd"/>
      <w:r w:rsidRPr="000C232B">
        <w:rPr>
          <w:highlight w:val="yellow"/>
        </w:rPr>
        <w:t xml:space="preserve"> </w:t>
      </w:r>
      <w:r w:rsidRPr="00FE4905">
        <w:rPr>
          <w:highlight w:val="yellow"/>
        </w:rPr>
        <w:t>Flow</w:t>
      </w:r>
      <w:r w:rsidRPr="00FE4905" w:rsidR="00FE4905">
        <w:rPr>
          <w:highlight w:val="yellow"/>
        </w:rPr>
        <w:t xml:space="preserve"> to be successful in this training.</w:t>
      </w:r>
    </w:p>
    <w:p w:rsidRPr="000C232B" w:rsidR="000C232B" w:rsidP="000C232B" w:rsidRDefault="000C232B" w14:paraId="465A59EC" w14:textId="77777777">
      <w:pPr>
        <w:rPr>
          <w:highlight w:val="yellow"/>
        </w:rPr>
      </w:pPr>
    </w:p>
    <w:p w:rsidR="009F254C" w:rsidP="009F254C" w:rsidRDefault="009F254C" w14:paraId="0E6DEB8D" w14:textId="77777777"/>
    <w:p w:rsidRPr="009F254C" w:rsidR="009F254C" w:rsidP="009F254C" w:rsidRDefault="009F254C" w14:paraId="4D5F988F" w14:textId="46A2A9A9"/>
    <w:p w:rsidR="00CA0D11" w:rsidRDefault="00CA0D11" w14:paraId="5EC97586" w14:textId="77777777"/>
    <w:sectPr w:rsidR="00CA0D1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959A6"/>
    <w:multiLevelType w:val="hybridMultilevel"/>
    <w:tmpl w:val="F07661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89A4E47"/>
    <w:multiLevelType w:val="hybridMultilevel"/>
    <w:tmpl w:val="58A66E3E"/>
    <w:lvl w:ilvl="0" w:tplc="04090001">
      <w:start w:val="1"/>
      <w:numFmt w:val="bullet"/>
      <w:lvlText w:val=""/>
      <w:lvlJc w:val="left"/>
      <w:pPr>
        <w:ind w:left="768" w:hanging="360"/>
      </w:pPr>
      <w:rPr>
        <w:rFonts w:hint="default" w:ascii="Symbol" w:hAnsi="Symbol"/>
      </w:rPr>
    </w:lvl>
    <w:lvl w:ilvl="1" w:tplc="04090003" w:tentative="1">
      <w:start w:val="1"/>
      <w:numFmt w:val="bullet"/>
      <w:lvlText w:val="o"/>
      <w:lvlJc w:val="left"/>
      <w:pPr>
        <w:ind w:left="1488" w:hanging="360"/>
      </w:pPr>
      <w:rPr>
        <w:rFonts w:hint="default" w:ascii="Courier New" w:hAnsi="Courier New" w:cs="Courier New"/>
      </w:rPr>
    </w:lvl>
    <w:lvl w:ilvl="2" w:tplc="04090005" w:tentative="1">
      <w:start w:val="1"/>
      <w:numFmt w:val="bullet"/>
      <w:lvlText w:val=""/>
      <w:lvlJc w:val="left"/>
      <w:pPr>
        <w:ind w:left="2208" w:hanging="360"/>
      </w:pPr>
      <w:rPr>
        <w:rFonts w:hint="default" w:ascii="Wingdings" w:hAnsi="Wingdings"/>
      </w:rPr>
    </w:lvl>
    <w:lvl w:ilvl="3" w:tplc="04090001" w:tentative="1">
      <w:start w:val="1"/>
      <w:numFmt w:val="bullet"/>
      <w:lvlText w:val=""/>
      <w:lvlJc w:val="left"/>
      <w:pPr>
        <w:ind w:left="2928" w:hanging="360"/>
      </w:pPr>
      <w:rPr>
        <w:rFonts w:hint="default" w:ascii="Symbol" w:hAnsi="Symbol"/>
      </w:rPr>
    </w:lvl>
    <w:lvl w:ilvl="4" w:tplc="04090003" w:tentative="1">
      <w:start w:val="1"/>
      <w:numFmt w:val="bullet"/>
      <w:lvlText w:val="o"/>
      <w:lvlJc w:val="left"/>
      <w:pPr>
        <w:ind w:left="3648" w:hanging="360"/>
      </w:pPr>
      <w:rPr>
        <w:rFonts w:hint="default" w:ascii="Courier New" w:hAnsi="Courier New" w:cs="Courier New"/>
      </w:rPr>
    </w:lvl>
    <w:lvl w:ilvl="5" w:tplc="04090005" w:tentative="1">
      <w:start w:val="1"/>
      <w:numFmt w:val="bullet"/>
      <w:lvlText w:val=""/>
      <w:lvlJc w:val="left"/>
      <w:pPr>
        <w:ind w:left="4368" w:hanging="360"/>
      </w:pPr>
      <w:rPr>
        <w:rFonts w:hint="default" w:ascii="Wingdings" w:hAnsi="Wingdings"/>
      </w:rPr>
    </w:lvl>
    <w:lvl w:ilvl="6" w:tplc="04090001" w:tentative="1">
      <w:start w:val="1"/>
      <w:numFmt w:val="bullet"/>
      <w:lvlText w:val=""/>
      <w:lvlJc w:val="left"/>
      <w:pPr>
        <w:ind w:left="5088" w:hanging="360"/>
      </w:pPr>
      <w:rPr>
        <w:rFonts w:hint="default" w:ascii="Symbol" w:hAnsi="Symbol"/>
      </w:rPr>
    </w:lvl>
    <w:lvl w:ilvl="7" w:tplc="04090003" w:tentative="1">
      <w:start w:val="1"/>
      <w:numFmt w:val="bullet"/>
      <w:lvlText w:val="o"/>
      <w:lvlJc w:val="left"/>
      <w:pPr>
        <w:ind w:left="5808" w:hanging="360"/>
      </w:pPr>
      <w:rPr>
        <w:rFonts w:hint="default" w:ascii="Courier New" w:hAnsi="Courier New" w:cs="Courier New"/>
      </w:rPr>
    </w:lvl>
    <w:lvl w:ilvl="8" w:tplc="04090005" w:tentative="1">
      <w:start w:val="1"/>
      <w:numFmt w:val="bullet"/>
      <w:lvlText w:val=""/>
      <w:lvlJc w:val="left"/>
      <w:pPr>
        <w:ind w:left="6528" w:hanging="360"/>
      </w:pPr>
      <w:rPr>
        <w:rFonts w:hint="default" w:ascii="Wingdings" w:hAnsi="Wingdings"/>
      </w:rPr>
    </w:lvl>
  </w:abstractNum>
  <w:abstractNum w:abstractNumId="2" w15:restartNumberingAfterBreak="0">
    <w:nsid w:val="3CA83933"/>
    <w:multiLevelType w:val="hybridMultilevel"/>
    <w:tmpl w:val="637E38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33A38C4"/>
    <w:multiLevelType w:val="hybridMultilevel"/>
    <w:tmpl w:val="F5C63CC2"/>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num w:numId="1" w16cid:durableId="1868366898">
    <w:abstractNumId w:val="1"/>
  </w:num>
  <w:num w:numId="2" w16cid:durableId="2020232732">
    <w:abstractNumId w:val="3"/>
  </w:num>
  <w:num w:numId="3" w16cid:durableId="705372016">
    <w:abstractNumId w:val="2"/>
  </w:num>
  <w:num w:numId="4" w16cid:durableId="1516071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54C"/>
    <w:rsid w:val="0003010F"/>
    <w:rsid w:val="00090F20"/>
    <w:rsid w:val="000A032B"/>
    <w:rsid w:val="000C232B"/>
    <w:rsid w:val="000E02D6"/>
    <w:rsid w:val="00143AE2"/>
    <w:rsid w:val="00165736"/>
    <w:rsid w:val="001E1A82"/>
    <w:rsid w:val="00231C76"/>
    <w:rsid w:val="0025600E"/>
    <w:rsid w:val="002A6207"/>
    <w:rsid w:val="002C75A6"/>
    <w:rsid w:val="002F6DBA"/>
    <w:rsid w:val="00324FF4"/>
    <w:rsid w:val="00343822"/>
    <w:rsid w:val="0036526B"/>
    <w:rsid w:val="003668BC"/>
    <w:rsid w:val="00384EDF"/>
    <w:rsid w:val="00414D8F"/>
    <w:rsid w:val="004556A0"/>
    <w:rsid w:val="00473F9F"/>
    <w:rsid w:val="00485D63"/>
    <w:rsid w:val="005446FF"/>
    <w:rsid w:val="0054562D"/>
    <w:rsid w:val="00591420"/>
    <w:rsid w:val="005A31B6"/>
    <w:rsid w:val="005C164F"/>
    <w:rsid w:val="005C2E19"/>
    <w:rsid w:val="006505C3"/>
    <w:rsid w:val="00664C8B"/>
    <w:rsid w:val="006719A1"/>
    <w:rsid w:val="00680DE4"/>
    <w:rsid w:val="00683F67"/>
    <w:rsid w:val="006C7FA0"/>
    <w:rsid w:val="006F7E35"/>
    <w:rsid w:val="007156BA"/>
    <w:rsid w:val="00726F51"/>
    <w:rsid w:val="007332A5"/>
    <w:rsid w:val="0073550D"/>
    <w:rsid w:val="007452D9"/>
    <w:rsid w:val="00777447"/>
    <w:rsid w:val="007B5B73"/>
    <w:rsid w:val="007D4568"/>
    <w:rsid w:val="007F08BB"/>
    <w:rsid w:val="007F3DDD"/>
    <w:rsid w:val="0084349E"/>
    <w:rsid w:val="00884CBA"/>
    <w:rsid w:val="008A1D96"/>
    <w:rsid w:val="008E769F"/>
    <w:rsid w:val="00921334"/>
    <w:rsid w:val="00926DCA"/>
    <w:rsid w:val="00952101"/>
    <w:rsid w:val="009B1E60"/>
    <w:rsid w:val="009C3BD6"/>
    <w:rsid w:val="009F254C"/>
    <w:rsid w:val="009F79C4"/>
    <w:rsid w:val="00A00F8D"/>
    <w:rsid w:val="00A0182C"/>
    <w:rsid w:val="00A02C22"/>
    <w:rsid w:val="00AB56B7"/>
    <w:rsid w:val="00AB5A15"/>
    <w:rsid w:val="00AD22CA"/>
    <w:rsid w:val="00AE5086"/>
    <w:rsid w:val="00BC67B6"/>
    <w:rsid w:val="00C460FD"/>
    <w:rsid w:val="00C60856"/>
    <w:rsid w:val="00C64C2D"/>
    <w:rsid w:val="00C66F74"/>
    <w:rsid w:val="00C85E7D"/>
    <w:rsid w:val="00CA0D11"/>
    <w:rsid w:val="00CD00FC"/>
    <w:rsid w:val="00CF5F88"/>
    <w:rsid w:val="00D25024"/>
    <w:rsid w:val="00D277E2"/>
    <w:rsid w:val="00D318C4"/>
    <w:rsid w:val="00D6415D"/>
    <w:rsid w:val="00D81987"/>
    <w:rsid w:val="00DB031A"/>
    <w:rsid w:val="00DB4178"/>
    <w:rsid w:val="00DE5DD3"/>
    <w:rsid w:val="00E218DC"/>
    <w:rsid w:val="00E71C1A"/>
    <w:rsid w:val="00EB048E"/>
    <w:rsid w:val="00EE030D"/>
    <w:rsid w:val="00F81C7B"/>
    <w:rsid w:val="00FD09C6"/>
    <w:rsid w:val="00FE4905"/>
    <w:rsid w:val="00FE7212"/>
    <w:rsid w:val="00FF7C36"/>
    <w:rsid w:val="3598B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B191"/>
  <w15:chartTrackingRefBased/>
  <w15:docId w15:val="{259BF821-C456-416F-8238-578327BC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F254C"/>
  </w:style>
  <w:style w:type="paragraph" w:styleId="Heading1">
    <w:name w:val="heading 1"/>
    <w:basedOn w:val="Normal"/>
    <w:next w:val="Normal"/>
    <w:link w:val="Heading1Char"/>
    <w:uiPriority w:val="9"/>
    <w:qFormat/>
    <w:rsid w:val="009F254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254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31B6"/>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F254C"/>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9F254C"/>
    <w:pPr>
      <w:ind w:left="720"/>
      <w:contextualSpacing/>
    </w:pPr>
  </w:style>
  <w:style w:type="character" w:styleId="Heading2Char" w:customStyle="1">
    <w:name w:val="Heading 2 Char"/>
    <w:basedOn w:val="DefaultParagraphFont"/>
    <w:link w:val="Heading2"/>
    <w:uiPriority w:val="9"/>
    <w:rsid w:val="009F254C"/>
    <w:rPr>
      <w:rFonts w:asciiTheme="majorHAnsi" w:hAnsiTheme="majorHAnsi" w:eastAsiaTheme="majorEastAsia" w:cstheme="majorBidi"/>
      <w:color w:val="2F5496" w:themeColor="accent1" w:themeShade="BF"/>
      <w:sz w:val="26"/>
      <w:szCs w:val="26"/>
    </w:rPr>
  </w:style>
  <w:style w:type="character" w:styleId="CommentReference">
    <w:name w:val="annotation reference"/>
    <w:basedOn w:val="DefaultParagraphFont"/>
    <w:uiPriority w:val="99"/>
    <w:semiHidden/>
    <w:unhideWhenUsed/>
    <w:rsid w:val="00884CBA"/>
    <w:rPr>
      <w:sz w:val="16"/>
      <w:szCs w:val="16"/>
    </w:rPr>
  </w:style>
  <w:style w:type="paragraph" w:styleId="CommentText">
    <w:name w:val="annotation text"/>
    <w:basedOn w:val="Normal"/>
    <w:link w:val="CommentTextChar"/>
    <w:uiPriority w:val="99"/>
    <w:unhideWhenUsed/>
    <w:rsid w:val="00884CBA"/>
    <w:pPr>
      <w:spacing w:line="240" w:lineRule="auto"/>
    </w:pPr>
    <w:rPr>
      <w:sz w:val="20"/>
      <w:szCs w:val="20"/>
    </w:rPr>
  </w:style>
  <w:style w:type="character" w:styleId="CommentTextChar" w:customStyle="1">
    <w:name w:val="Comment Text Char"/>
    <w:basedOn w:val="DefaultParagraphFont"/>
    <w:link w:val="CommentText"/>
    <w:uiPriority w:val="99"/>
    <w:rsid w:val="00884CBA"/>
    <w:rPr>
      <w:sz w:val="20"/>
      <w:szCs w:val="20"/>
    </w:rPr>
  </w:style>
  <w:style w:type="paragraph" w:styleId="CommentSubject">
    <w:name w:val="annotation subject"/>
    <w:basedOn w:val="CommentText"/>
    <w:next w:val="CommentText"/>
    <w:link w:val="CommentSubjectChar"/>
    <w:uiPriority w:val="99"/>
    <w:semiHidden/>
    <w:unhideWhenUsed/>
    <w:rsid w:val="00884CBA"/>
    <w:rPr>
      <w:b/>
      <w:bCs/>
    </w:rPr>
  </w:style>
  <w:style w:type="character" w:styleId="CommentSubjectChar" w:customStyle="1">
    <w:name w:val="Comment Subject Char"/>
    <w:basedOn w:val="CommentTextChar"/>
    <w:link w:val="CommentSubject"/>
    <w:uiPriority w:val="99"/>
    <w:semiHidden/>
    <w:rsid w:val="00884CBA"/>
    <w:rPr>
      <w:b/>
      <w:bCs/>
      <w:sz w:val="20"/>
      <w:szCs w:val="20"/>
    </w:rPr>
  </w:style>
  <w:style w:type="character" w:styleId="Heading3Char" w:customStyle="1">
    <w:name w:val="Heading 3 Char"/>
    <w:basedOn w:val="DefaultParagraphFont"/>
    <w:link w:val="Heading3"/>
    <w:uiPriority w:val="9"/>
    <w:rsid w:val="005A31B6"/>
    <w:rPr>
      <w:rFonts w:asciiTheme="majorHAnsi" w:hAnsiTheme="majorHAnsi" w:eastAsiaTheme="majorEastAsia" w:cstheme="majorBidi"/>
      <w:color w:val="1F3763" w:themeColor="accent1" w:themeShade="7F"/>
      <w:sz w:val="24"/>
      <w:szCs w:val="24"/>
    </w:rPr>
  </w:style>
  <w:style w:type="character" w:styleId="Hyperlink">
    <w:name w:val="Hyperlink"/>
    <w:basedOn w:val="DefaultParagraphFont"/>
    <w:uiPriority w:val="99"/>
    <w:unhideWhenUsed/>
    <w:rsid w:val="00683F67"/>
    <w:rPr>
      <w:color w:val="0563C1" w:themeColor="hyperlink"/>
      <w:u w:val="single"/>
    </w:rPr>
  </w:style>
  <w:style w:type="character" w:styleId="UnresolvedMention">
    <w:name w:val="Unresolved Mention"/>
    <w:basedOn w:val="DefaultParagraphFont"/>
    <w:uiPriority w:val="99"/>
    <w:semiHidden/>
    <w:unhideWhenUsed/>
    <w:rsid w:val="00683F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8054">
      <w:bodyDiv w:val="1"/>
      <w:marLeft w:val="0"/>
      <w:marRight w:val="0"/>
      <w:marTop w:val="0"/>
      <w:marBottom w:val="0"/>
      <w:divBdr>
        <w:top w:val="none" w:sz="0" w:space="0" w:color="auto"/>
        <w:left w:val="none" w:sz="0" w:space="0" w:color="auto"/>
        <w:bottom w:val="none" w:sz="0" w:space="0" w:color="auto"/>
        <w:right w:val="none" w:sz="0" w:space="0" w:color="auto"/>
      </w:divBdr>
    </w:div>
    <w:div w:id="1216551446">
      <w:bodyDiv w:val="1"/>
      <w:marLeft w:val="0"/>
      <w:marRight w:val="0"/>
      <w:marTop w:val="0"/>
      <w:marBottom w:val="0"/>
      <w:divBdr>
        <w:top w:val="none" w:sz="0" w:space="0" w:color="auto"/>
        <w:left w:val="none" w:sz="0" w:space="0" w:color="auto"/>
        <w:bottom w:val="none" w:sz="0" w:space="0" w:color="auto"/>
        <w:right w:val="none" w:sz="0" w:space="0" w:color="auto"/>
      </w:divBdr>
    </w:div>
    <w:div w:id="146226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CF7180703C7A4488DD1993184B0D7D" ma:contentTypeVersion="16" ma:contentTypeDescription="Create a new document." ma:contentTypeScope="" ma:versionID="c4f0a1b55c0f99a976a9d1926e23cfb2">
  <xsd:schema xmlns:xsd="http://www.w3.org/2001/XMLSchema" xmlns:xs="http://www.w3.org/2001/XMLSchema" xmlns:p="http://schemas.microsoft.com/office/2006/metadata/properties" xmlns:ns2="b4a40430-959d-424a-978b-d868a90e61ac" xmlns:ns3="4aae6841-32d9-425b-8541-f9f698492036" targetNamespace="http://schemas.microsoft.com/office/2006/metadata/properties" ma:root="true" ma:fieldsID="801c4aa8950912271cf584df7f0babc5" ns2:_="" ns3:_="">
    <xsd:import namespace="b4a40430-959d-424a-978b-d868a90e61ac"/>
    <xsd:import namespace="4aae6841-32d9-425b-8541-f9f69849203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a40430-959d-424a-978b-d868a90e61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ce9f98e-9ad5-43de-b59a-72d7e946aae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aae6841-32d9-425b-8541-f9f69849203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7e7119c-1061-4fa4-a39b-7870e596b845}" ma:internalName="TaxCatchAll" ma:showField="CatchAllData" ma:web="4aae6841-32d9-425b-8541-f9f6984920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aae6841-32d9-425b-8541-f9f698492036" xsi:nil="true"/>
    <lcf76f155ced4ddcb4097134ff3c332f xmlns="b4a40430-959d-424a-978b-d868a90e61a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204F68A-DF06-4DCA-BFBD-3E0E0086144E}"/>
</file>

<file path=customXml/itemProps2.xml><?xml version="1.0" encoding="utf-8"?>
<ds:datastoreItem xmlns:ds="http://schemas.openxmlformats.org/officeDocument/2006/customXml" ds:itemID="{C5AD9037-1998-42B2-B955-7136471874A0}"/>
</file>

<file path=customXml/itemProps3.xml><?xml version="1.0" encoding="utf-8"?>
<ds:datastoreItem xmlns:ds="http://schemas.openxmlformats.org/officeDocument/2006/customXml" ds:itemID="{4A239B96-F779-4DB8-B656-3AA524562C4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ORS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Mirro, Bernadette (NIH/OD/ORS) [E]</dc:creator>
  <cp:keywords/>
  <dc:description/>
  <cp:lastModifiedBy>Mirro, Bernadette (NIH/OD/ORS) [E]</cp:lastModifiedBy>
  <cp:revision>91</cp:revision>
  <dcterms:created xsi:type="dcterms:W3CDTF">2024-04-22T20:15:00Z</dcterms:created>
  <dcterms:modified xsi:type="dcterms:W3CDTF">2024-05-07T15:02:22Z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0x010100DECF7180703C7A4488DD1993184B0D7D</vt:lpwstr>
  </property>
  <property fmtid="{D5CDD505-2E9C-101B-9397-08002B2CF9AE}" pid="3" name="MediaServiceImageTags">
    <vt:lpwstr/>
  </property>
</Properties>
</file>