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65CF" w14:textId="77777777" w:rsidR="006B1874" w:rsidRDefault="00513A2B">
      <w:pPr>
        <w:pStyle w:val="Title"/>
      </w:pPr>
      <w:r>
        <w:t>Lesson XX: Gemo Review (Decide where to put in 2023)</w:t>
      </w:r>
    </w:p>
    <w:p w14:paraId="628770DE" w14:textId="77777777" w:rsidR="006B1874" w:rsidRDefault="00513A2B">
      <w:pPr>
        <w:pStyle w:val="Author"/>
      </w:pPr>
      <w:r>
        <w:t>Doug Joubert</w:t>
      </w:r>
    </w:p>
    <w:p w14:paraId="0101D71C" w14:textId="77777777" w:rsidR="006B1874" w:rsidRDefault="00513A2B">
      <w:pPr>
        <w:pStyle w:val="Date"/>
      </w:pPr>
      <w:r>
        <w:t>2022-03-02</w:t>
      </w:r>
    </w:p>
    <w:p w14:paraId="3EA5F436" w14:textId="77777777" w:rsidR="006B1874" w:rsidRDefault="00513A2B">
      <w:pPr>
        <w:pStyle w:val="Heading1"/>
      </w:pPr>
      <w:bookmarkStart w:id="0" w:name="introduction"/>
      <w:r>
        <w:t>Introduction</w:t>
      </w:r>
    </w:p>
    <w:p w14:paraId="7F968771" w14:textId="77777777" w:rsidR="006B1874" w:rsidRDefault="00513A2B">
      <w:pPr>
        <w:pStyle w:val="Heading2"/>
      </w:pPr>
      <w:bookmarkStart w:id="1" w:name="packages-used-for-this-demo"/>
      <w:r>
        <w:t>Packages Used for this Demo</w:t>
      </w:r>
    </w:p>
    <w:p w14:paraId="4CD6FED3" w14:textId="77777777" w:rsidR="006B1874" w:rsidRDefault="00513A2B">
      <w:pPr>
        <w:pStyle w:val="SourceCode"/>
      </w:pPr>
      <w:r>
        <w:rPr>
          <w:rStyle w:val="FunctionTok"/>
        </w:rPr>
        <w:t>library</w:t>
      </w:r>
      <w:r>
        <w:rPr>
          <w:rStyle w:val="NormalTok"/>
        </w:rPr>
        <w:t>(gapminder)</w:t>
      </w:r>
      <w:r>
        <w:br/>
      </w:r>
      <w:r>
        <w:rPr>
          <w:rStyle w:val="FunctionTok"/>
        </w:rPr>
        <w:t>library</w:t>
      </w:r>
      <w:r>
        <w:rPr>
          <w:rStyle w:val="NormalTok"/>
        </w:rPr>
        <w:t>(tidyverse)</w:t>
      </w:r>
    </w:p>
    <w:p w14:paraId="6EFAB965" w14:textId="77777777" w:rsidR="006B1874" w:rsidRDefault="00513A2B">
      <w:pPr>
        <w:pStyle w:val="SourceCode"/>
      </w:pPr>
      <w:r>
        <w:rPr>
          <w:rStyle w:val="VerbatimChar"/>
        </w:rPr>
        <w:t>## -- Attaching packages --------------------------------------- tidyverse 1.3.1 --</w:t>
      </w:r>
    </w:p>
    <w:p w14:paraId="23A7423E" w14:textId="77777777" w:rsidR="006B1874" w:rsidRDefault="00513A2B">
      <w:pPr>
        <w:pStyle w:val="SourceCode"/>
      </w:pPr>
      <w:r>
        <w:rPr>
          <w:rStyle w:val="VerbatimChar"/>
        </w:rPr>
        <w:t>## v ggplot2 3.3.5     v purrr   0.3.4</w:t>
      </w:r>
      <w:r>
        <w:br/>
      </w:r>
      <w:r>
        <w:rPr>
          <w:rStyle w:val="VerbatimChar"/>
        </w:rPr>
        <w:t>## v tibble  3.1.6     v dplyr   1.0.8</w:t>
      </w:r>
      <w:r>
        <w:br/>
      </w:r>
      <w:r>
        <w:rPr>
          <w:rStyle w:val="VerbatimChar"/>
        </w:rPr>
        <w:t>## v tidyr   1.2.0     v stringr 1.4.0</w:t>
      </w:r>
      <w:r>
        <w:br/>
      </w:r>
      <w:r>
        <w:rPr>
          <w:rStyle w:val="VerbatimChar"/>
        </w:rPr>
        <w:t>## v readr   2.1.2     v forcats 0.5.1</w:t>
      </w:r>
    </w:p>
    <w:p w14:paraId="62A50363" w14:textId="77777777" w:rsidR="006B1874" w:rsidRDefault="00513A2B">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6F7FD603" w14:textId="77777777" w:rsidR="006B1874" w:rsidRDefault="00513A2B">
      <w:pPr>
        <w:pStyle w:val="SourceCode"/>
      </w:pPr>
      <w:r>
        <w:rPr>
          <w:rStyle w:val="FunctionTok"/>
        </w:rPr>
        <w:t>library</w:t>
      </w:r>
      <w:r>
        <w:rPr>
          <w:rStyle w:val="NormalTok"/>
        </w:rPr>
        <w:t>(socviz)</w:t>
      </w:r>
      <w:r>
        <w:br/>
      </w:r>
      <w:r>
        <w:rPr>
          <w:rStyle w:val="FunctionTok"/>
        </w:rPr>
        <w:t>library</w:t>
      </w:r>
      <w:r>
        <w:rPr>
          <w:rStyle w:val="NormalTok"/>
        </w:rPr>
        <w:t>(ggrepel)</w:t>
      </w:r>
      <w:r>
        <w:br/>
      </w:r>
      <w:r>
        <w:rPr>
          <w:rStyle w:val="FunctionTok"/>
        </w:rPr>
        <w:t>library</w:t>
      </w:r>
      <w:r>
        <w:rPr>
          <w:rStyle w:val="NormalTok"/>
        </w:rPr>
        <w:t>(RColorBrewer)</w:t>
      </w:r>
      <w:r>
        <w:br/>
      </w:r>
      <w:r>
        <w:rPr>
          <w:rStyle w:val="FunctionTok"/>
        </w:rPr>
        <w:t>library</w:t>
      </w:r>
      <w:r>
        <w:rPr>
          <w:rStyle w:val="NormalTok"/>
        </w:rPr>
        <w:t>(nlme)</w:t>
      </w:r>
    </w:p>
    <w:p w14:paraId="16422442" w14:textId="77777777" w:rsidR="006B1874" w:rsidRDefault="00513A2B">
      <w:pPr>
        <w:pStyle w:val="SourceCode"/>
      </w:pPr>
      <w:r>
        <w:rPr>
          <w:rStyle w:val="VerbatimChar"/>
        </w:rPr>
        <w:t xml:space="preserve">## </w:t>
      </w:r>
      <w:r>
        <w:br/>
      </w:r>
      <w:r>
        <w:rPr>
          <w:rStyle w:val="VerbatimChar"/>
        </w:rPr>
        <w:t>## Attaching package: 'nlme'</w:t>
      </w:r>
    </w:p>
    <w:p w14:paraId="0275B280" w14:textId="77777777" w:rsidR="006B1874" w:rsidRDefault="00513A2B">
      <w:pPr>
        <w:pStyle w:val="SourceCode"/>
      </w:pPr>
      <w:r>
        <w:rPr>
          <w:rStyle w:val="VerbatimChar"/>
        </w:rPr>
        <w:t xml:space="preserve">## </w:t>
      </w:r>
      <w:r>
        <w:rPr>
          <w:rStyle w:val="VerbatimChar"/>
        </w:rPr>
        <w:t>The following object is masked from 'package:dplyr':</w:t>
      </w:r>
      <w:r>
        <w:br/>
      </w:r>
      <w:r>
        <w:rPr>
          <w:rStyle w:val="VerbatimChar"/>
        </w:rPr>
        <w:t xml:space="preserve">## </w:t>
      </w:r>
      <w:r>
        <w:br/>
      </w:r>
      <w:r>
        <w:rPr>
          <w:rStyle w:val="VerbatimChar"/>
        </w:rPr>
        <w:t>##     collapse</w:t>
      </w:r>
    </w:p>
    <w:p w14:paraId="784D86A7" w14:textId="77777777" w:rsidR="006B1874" w:rsidRDefault="00513A2B">
      <w:pPr>
        <w:pStyle w:val="Heading2"/>
      </w:pPr>
      <w:bookmarkStart w:id="2" w:name="data-used-in-this-demo"/>
      <w:bookmarkEnd w:id="1"/>
      <w:r>
        <w:t>Data Used in this Demo</w:t>
      </w:r>
    </w:p>
    <w:p w14:paraId="5133B0AD" w14:textId="77777777" w:rsidR="006B1874" w:rsidRDefault="00513A2B">
      <w:pPr>
        <w:numPr>
          <w:ilvl w:val="0"/>
          <w:numId w:val="2"/>
        </w:numPr>
      </w:pPr>
      <w:r>
        <w:t>interviews plotting</w:t>
      </w:r>
    </w:p>
    <w:p w14:paraId="470DBEEE" w14:textId="77777777" w:rsidR="006B1874" w:rsidRDefault="00513A2B">
      <w:pPr>
        <w:numPr>
          <w:ilvl w:val="0"/>
          <w:numId w:val="2"/>
        </w:numPr>
      </w:pPr>
      <w:r>
        <w:t>Oxboys</w:t>
      </w:r>
    </w:p>
    <w:p w14:paraId="75628161" w14:textId="77777777" w:rsidR="006B1874" w:rsidRDefault="00513A2B">
      <w:pPr>
        <w:pStyle w:val="Heading2"/>
      </w:pPr>
      <w:bookmarkStart w:id="3" w:name="read-in-our-data"/>
      <w:bookmarkEnd w:id="2"/>
      <w:r>
        <w:t>Read in our Data</w:t>
      </w:r>
    </w:p>
    <w:p w14:paraId="5F0A6D08" w14:textId="77777777" w:rsidR="006B1874" w:rsidRDefault="00513A2B">
      <w:pPr>
        <w:pStyle w:val="SourceCode"/>
      </w:pPr>
      <w:r>
        <w:rPr>
          <w:rStyle w:val="NormalTok"/>
        </w:rPr>
        <w:t xml:space="preserve">interviews_plotting </w:t>
      </w:r>
      <w:r>
        <w:rPr>
          <w:rStyle w:val="OtherTok"/>
        </w:rPr>
        <w:t>&lt;-</w:t>
      </w:r>
      <w:r>
        <w:rPr>
          <w:rStyle w:val="NormalTok"/>
        </w:rPr>
        <w:t xml:space="preserve"> </w:t>
      </w:r>
      <w:r>
        <w:rPr>
          <w:rStyle w:val="FunctionTok"/>
        </w:rPr>
        <w:t>read_csv</w:t>
      </w:r>
      <w:r>
        <w:rPr>
          <w:rStyle w:val="NormalTok"/>
        </w:rPr>
        <w:t>(</w:t>
      </w:r>
      <w:r>
        <w:rPr>
          <w:rStyle w:val="StringTok"/>
        </w:rPr>
        <w:t>"../raw_data/interviews_plotting.csv"</w:t>
      </w:r>
      <w:r>
        <w:rPr>
          <w:rStyle w:val="NormalTok"/>
        </w:rPr>
        <w:t>)</w:t>
      </w:r>
    </w:p>
    <w:p w14:paraId="2E05C36B" w14:textId="77777777" w:rsidR="006B1874" w:rsidRDefault="00513A2B">
      <w:pPr>
        <w:pStyle w:val="SourceCode"/>
      </w:pPr>
      <w:r>
        <w:rPr>
          <w:rStyle w:val="VerbatimChar"/>
        </w:rPr>
        <w:t>## Rows: 131 Columns: 45</w:t>
      </w:r>
      <w:r>
        <w:br/>
      </w:r>
      <w:r>
        <w:rPr>
          <w:rStyle w:val="VerbatimChar"/>
        </w:rPr>
        <w:t>## -- Column specifi</w:t>
      </w:r>
      <w:r>
        <w:rPr>
          <w:rStyle w:val="VerbatimChar"/>
        </w:rPr>
        <w:t>cation --------------------------------------------------</w:t>
      </w:r>
      <w:r>
        <w:rPr>
          <w:rStyle w:val="VerbatimChar"/>
        </w:rPr>
        <w:lastRenderedPageBreak/>
        <w:t>------</w:t>
      </w:r>
      <w:r>
        <w:br/>
      </w:r>
      <w:r>
        <w:rPr>
          <w:rStyle w:val="VerbatimChar"/>
        </w:rPr>
        <w:t>## Delimiter: ","</w:t>
      </w:r>
      <w:r>
        <w:br/>
      </w:r>
      <w:r>
        <w:rPr>
          <w:rStyle w:val="VerbatimChar"/>
        </w:rPr>
        <w:t>## chr   (5): village, respondent_wall_type, memb_assoc, affect_conflicts, inst...</w:t>
      </w:r>
      <w:r>
        <w:br/>
      </w:r>
      <w:r>
        <w:rPr>
          <w:rStyle w:val="VerbatimChar"/>
        </w:rPr>
        <w:t>## dbl   (8): key_ID, no_membrs, years_liv, rooms, liv_count, no_meals, number_...</w:t>
      </w:r>
      <w:r>
        <w:br/>
      </w:r>
      <w:r>
        <w:rPr>
          <w:rStyle w:val="VerbatimChar"/>
        </w:rPr>
        <w:t xml:space="preserve">## lgl  </w:t>
      </w:r>
      <w:r>
        <w:rPr>
          <w:rStyle w:val="VerbatimChar"/>
        </w:rPr>
        <w:t>(31): bicycle, television, solar_panel, table, cow_cart, radio, cow_plo...</w:t>
      </w:r>
      <w:r>
        <w:br/>
      </w:r>
      <w:r>
        <w:rPr>
          <w:rStyle w:val="VerbatimChar"/>
        </w:rPr>
        <w:t>## dttm  (1): interview_date</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w:t>
      </w:r>
      <w:r>
        <w:rPr>
          <w:rStyle w:val="VerbatimChar"/>
        </w:rPr>
        <w:t>is message.</w:t>
      </w:r>
    </w:p>
    <w:p w14:paraId="2E26AED9" w14:textId="77777777" w:rsidR="006B1874" w:rsidRDefault="00513A2B">
      <w:pPr>
        <w:pStyle w:val="Heading1"/>
      </w:pPr>
      <w:bookmarkStart w:id="4" w:name="ggplot-and-layers"/>
      <w:bookmarkEnd w:id="0"/>
      <w:bookmarkEnd w:id="3"/>
      <w:r>
        <w:t>ggplot and Layers</w:t>
      </w:r>
    </w:p>
    <w:p w14:paraId="1D0E7F8B" w14:textId="77777777" w:rsidR="006B1874" w:rsidRDefault="00513A2B">
      <w:pPr>
        <w:pStyle w:val="FirstParagraph"/>
      </w:pPr>
      <w:r>
        <w:t>The general structure of the code that is used to plot figures is as follows:</w:t>
      </w:r>
    </w:p>
    <w:p w14:paraId="503FC0A0" w14:textId="77777777" w:rsidR="006B1874" w:rsidRDefault="00513A2B">
      <w:pPr>
        <w:pStyle w:val="SourceCode"/>
      </w:pPr>
      <w:r>
        <w:rPr>
          <w:rStyle w:val="VerbatimChar"/>
        </w:rPr>
        <w:t>ggplot(...) +             # Initialization</w:t>
      </w:r>
      <w:r>
        <w:br/>
      </w:r>
      <w:r>
        <w:rPr>
          <w:rStyle w:val="VerbatimChar"/>
        </w:rPr>
        <w:t>  geom_function(...) +    # Main plot(s)</w:t>
      </w:r>
      <w:r>
        <w:br/>
      </w:r>
      <w:r>
        <w:rPr>
          <w:rStyle w:val="VerbatimChar"/>
        </w:rPr>
        <w:t>  facet_function(...) +   # Facets (optional)</w:t>
      </w:r>
      <w:r>
        <w:br/>
      </w:r>
      <w:r>
        <w:rPr>
          <w:rStyle w:val="VerbatimChar"/>
        </w:rPr>
        <w:t>  labs(...) +             # Legend (optional)</w:t>
      </w:r>
      <w:r>
        <w:br/>
      </w:r>
      <w:r>
        <w:rPr>
          <w:rStyle w:val="VerbatimChar"/>
        </w:rPr>
        <w:t>  scale_function(...) +   # Scales (optional)</w:t>
      </w:r>
      <w:r>
        <w:br/>
      </w:r>
      <w:r>
        <w:rPr>
          <w:rStyle w:val="VerbatimChar"/>
        </w:rPr>
        <w:t>  theme_function(...)     # Theme (optional)</w:t>
      </w:r>
    </w:p>
    <w:p w14:paraId="38CD9EC1" w14:textId="77777777" w:rsidR="006B1874" w:rsidRDefault="00513A2B">
      <w:pPr>
        <w:pStyle w:val="FirstParagraph"/>
      </w:pPr>
      <w:r>
        <w:t>What to consider, when working with these layers:</w:t>
      </w:r>
    </w:p>
    <w:p w14:paraId="435029C8" w14:textId="77777777" w:rsidR="006B1874" w:rsidRDefault="00513A2B">
      <w:pPr>
        <w:numPr>
          <w:ilvl w:val="0"/>
          <w:numId w:val="3"/>
        </w:numPr>
      </w:pPr>
      <w:r>
        <w:t xml:space="preserve">The </w:t>
      </w:r>
      <w:r>
        <w:rPr>
          <w:rStyle w:val="VerbatimChar"/>
        </w:rPr>
        <w:t>ggplot()</w:t>
      </w:r>
      <w:r>
        <w:t xml:space="preserve"> layer is m</w:t>
      </w:r>
      <w:r>
        <w:t>andatory.</w:t>
      </w:r>
    </w:p>
    <w:p w14:paraId="755FA50F" w14:textId="77777777" w:rsidR="006B1874" w:rsidRDefault="00513A2B">
      <w:pPr>
        <w:numPr>
          <w:ilvl w:val="0"/>
          <w:numId w:val="3"/>
        </w:numPr>
      </w:pPr>
      <w:r>
        <w:t xml:space="preserve">When the </w:t>
      </w:r>
      <w:r>
        <w:rPr>
          <w:rStyle w:val="VerbatimChar"/>
        </w:rPr>
        <w:t>data</w:t>
      </w:r>
      <w:r>
        <w:t xml:space="preserve"> argument is specified inside the </w:t>
      </w:r>
      <w:r>
        <w:rPr>
          <w:rStyle w:val="VerbatimChar"/>
        </w:rPr>
        <w:t>ggplot()</w:t>
      </w:r>
      <w:r>
        <w:t xml:space="preserve"> function, it is used as default in the following layers that compose the plot command, unless otherwise specified.</w:t>
      </w:r>
    </w:p>
    <w:p w14:paraId="714C349F" w14:textId="77777777" w:rsidR="006B1874" w:rsidRDefault="00513A2B">
      <w:pPr>
        <w:numPr>
          <w:ilvl w:val="0"/>
          <w:numId w:val="3"/>
        </w:numPr>
      </w:pPr>
      <w:r>
        <w:t>In order for features of a data frame to be used in a plot, they need to be</w:t>
      </w:r>
      <w:r>
        <w:t xml:space="preserve"> specified inside the </w:t>
      </w:r>
      <w:r>
        <w:rPr>
          <w:rStyle w:val="VerbatimChar"/>
        </w:rPr>
        <w:t>aes()</w:t>
      </w:r>
      <w:r>
        <w:t xml:space="preserve"> function</w:t>
      </w:r>
    </w:p>
    <w:p w14:paraId="138BA17D" w14:textId="77777777" w:rsidR="006B1874" w:rsidRDefault="00513A2B">
      <w:pPr>
        <w:pStyle w:val="Heading1"/>
      </w:pPr>
      <w:bookmarkStart w:id="5" w:name="geoms-in-ggplot"/>
      <w:bookmarkEnd w:id="4"/>
      <w:r>
        <w:t>Geoms in ggplot</w:t>
      </w:r>
    </w:p>
    <w:p w14:paraId="6EBEF746" w14:textId="77777777" w:rsidR="006B1874" w:rsidRDefault="00513A2B">
      <w:pPr>
        <w:pStyle w:val="Heading2"/>
      </w:pPr>
      <w:bookmarkStart w:id="6" w:name="individual-geoms"/>
      <w:r>
        <w:t>Individual geoms</w:t>
      </w:r>
    </w:p>
    <w:p w14:paraId="2F21217B" w14:textId="77777777" w:rsidR="006B1874" w:rsidRDefault="00513A2B">
      <w:pPr>
        <w:pStyle w:val="FirstParagraph"/>
      </w:pPr>
      <w:r>
        <w:t xml:space="preserve">The geoms listed below are the fundamental building blocks of ggplot2. They are useful in their own right, but are also used to construct more complex geoms. Most of these geoms are associated with a named plot: when that geom is used by itself in a plot, </w:t>
      </w:r>
      <w:r>
        <w:t>that plot has a special name.</w:t>
      </w:r>
    </w:p>
    <w:p w14:paraId="250E38A3" w14:textId="77777777" w:rsidR="006B1874" w:rsidRDefault="00513A2B">
      <w:pPr>
        <w:pStyle w:val="BodyText"/>
      </w:pPr>
      <w:r>
        <w:t xml:space="preserve">Each of these geoms is two dimensional and requires both </w:t>
      </w:r>
      <w:r>
        <w:rPr>
          <w:rStyle w:val="VerbatimChar"/>
        </w:rPr>
        <w:t>x</w:t>
      </w:r>
      <w:r>
        <w:t xml:space="preserve"> and </w:t>
      </w:r>
      <w:r>
        <w:rPr>
          <w:rStyle w:val="VerbatimChar"/>
        </w:rPr>
        <w:t>y</w:t>
      </w:r>
      <w:r>
        <w:t xml:space="preserve"> aesthetics. All of them understand </w:t>
      </w:r>
      <w:r>
        <w:rPr>
          <w:rStyle w:val="VerbatimChar"/>
        </w:rPr>
        <w:t>colour</w:t>
      </w:r>
      <w:r>
        <w:t xml:space="preserve"> (or </w:t>
      </w:r>
      <w:r>
        <w:rPr>
          <w:rStyle w:val="VerbatimChar"/>
        </w:rPr>
        <w:t>color</w:t>
      </w:r>
      <w:r>
        <w:t xml:space="preserve">) and </w:t>
      </w:r>
      <w:r>
        <w:rPr>
          <w:rStyle w:val="VerbatimChar"/>
        </w:rPr>
        <w:t>size</w:t>
      </w:r>
      <w:r>
        <w:t xml:space="preserve"> aesthetics, and the filled geoms (bar, tile and polygon) also understand </w:t>
      </w:r>
      <w:r>
        <w:rPr>
          <w:rStyle w:val="VerbatimChar"/>
        </w:rPr>
        <w:t>fill</w:t>
      </w:r>
      <w:r>
        <w:t>.</w:t>
      </w:r>
    </w:p>
    <w:p w14:paraId="2D9F8D99" w14:textId="77777777" w:rsidR="006B1874" w:rsidRDefault="00513A2B">
      <w:pPr>
        <w:numPr>
          <w:ilvl w:val="0"/>
          <w:numId w:val="4"/>
        </w:numPr>
      </w:pPr>
      <w:hyperlink r:id="rId7">
        <w:r>
          <w:rPr>
            <w:rStyle w:val="VerbatimChar"/>
          </w:rPr>
          <w:t>geom_area()</w:t>
        </w:r>
      </w:hyperlink>
      <w:r>
        <w:t xml:space="preserve"> draws an </w:t>
      </w:r>
      <w:r>
        <w:rPr>
          <w:b/>
          <w:bCs/>
        </w:rPr>
        <w:t>area plot</w:t>
      </w:r>
      <w:r>
        <w:t>, which is a line plot filled to the y-axis (filled lines). Multiple groups will be stacked on top of each other.</w:t>
      </w:r>
    </w:p>
    <w:p w14:paraId="5D07EBE4" w14:textId="77777777" w:rsidR="006B1874" w:rsidRDefault="00513A2B">
      <w:pPr>
        <w:numPr>
          <w:ilvl w:val="0"/>
          <w:numId w:val="4"/>
        </w:numPr>
      </w:pPr>
      <w:hyperlink r:id="rId8" w:anchor="distributions">
        <w:r>
          <w:rPr>
            <w:rStyle w:val="VerbatimChar"/>
          </w:rPr>
          <w:t>geom_bar(stat = "identity")</w:t>
        </w:r>
      </w:hyperlink>
      <w:r>
        <w:t xml:space="preserve"> makes a </w:t>
      </w:r>
      <w:r>
        <w:rPr>
          <w:b/>
          <w:bCs/>
        </w:rPr>
        <w:t>bar chart</w:t>
      </w:r>
      <w:r>
        <w:t xml:space="preserve">. We need </w:t>
      </w:r>
      <w:r>
        <w:rPr>
          <w:rStyle w:val="VerbatimChar"/>
        </w:rPr>
        <w:t>stat = "identity"</w:t>
      </w:r>
      <w:r>
        <w:t xml:space="preserve"> because the default stat automatically counts values (so is essentially a 1d geom, see Section </w:t>
      </w:r>
      <w:hyperlink r:id="rId9" w:anchor="distributions">
        <w:r>
          <w:rPr>
            <w:rStyle w:val="Hyperlink"/>
          </w:rPr>
          <w:t>5.4</w:t>
        </w:r>
      </w:hyperlink>
      <w:r>
        <w:t>. The identity stat leaves the data unchanged. Multiple bars in the same location will be stacked on top of one another.</w:t>
      </w:r>
    </w:p>
    <w:p w14:paraId="13F16458" w14:textId="77777777" w:rsidR="006B1874" w:rsidRDefault="00513A2B">
      <w:pPr>
        <w:numPr>
          <w:ilvl w:val="0"/>
          <w:numId w:val="4"/>
        </w:numPr>
      </w:pPr>
      <w:hyperlink r:id="rId10">
        <w:r>
          <w:rPr>
            <w:rStyle w:val="VerbatimChar"/>
          </w:rPr>
          <w:t>geom_line()</w:t>
        </w:r>
      </w:hyperlink>
      <w:r>
        <w:t xml:space="preserve"> makes a </w:t>
      </w:r>
      <w:r>
        <w:rPr>
          <w:b/>
          <w:bCs/>
        </w:rPr>
        <w:t>li</w:t>
      </w:r>
      <w:r>
        <w:rPr>
          <w:b/>
          <w:bCs/>
        </w:rPr>
        <w:t>ne plot</w:t>
      </w:r>
      <w:r>
        <w:t xml:space="preserve">. The </w:t>
      </w:r>
      <w:r>
        <w:rPr>
          <w:rStyle w:val="VerbatimChar"/>
        </w:rPr>
        <w:t>group</w:t>
      </w:r>
      <w:r>
        <w:t xml:space="preserve"> aesthetic determines which observations are connected; see Chapter </w:t>
      </w:r>
      <w:hyperlink r:id="rId11" w:anchor="collective-geoms">
        <w:r>
          <w:rPr>
            <w:rStyle w:val="Hyperlink"/>
          </w:rPr>
          <w:t>4</w:t>
        </w:r>
      </w:hyperlink>
      <w:r>
        <w:t xml:space="preserve"> for more detail. </w:t>
      </w:r>
      <w:hyperlink r:id="rId12">
        <w:r>
          <w:rPr>
            <w:rStyle w:val="VerbatimChar"/>
          </w:rPr>
          <w:t>geom_line()</w:t>
        </w:r>
      </w:hyperlink>
      <w:r>
        <w:t xml:space="preserve"> connects points from left to right; </w:t>
      </w:r>
      <w:hyperlink r:id="rId13">
        <w:r>
          <w:rPr>
            <w:rStyle w:val="VerbatimChar"/>
          </w:rPr>
          <w:t>geom_path()</w:t>
        </w:r>
      </w:hyperlink>
      <w:r>
        <w:t xml:space="preserve"> </w:t>
      </w:r>
      <w:r>
        <w:t xml:space="preserve">is similar but connects points in the order they appear in the data. Both </w:t>
      </w:r>
      <w:hyperlink r:id="rId14">
        <w:r>
          <w:rPr>
            <w:rStyle w:val="VerbatimChar"/>
          </w:rPr>
          <w:t>geom_line()</w:t>
        </w:r>
      </w:hyperlink>
      <w:r>
        <w:t xml:space="preserve"> and </w:t>
      </w:r>
      <w:hyperlink r:id="rId15">
        <w:r>
          <w:rPr>
            <w:rStyle w:val="VerbatimChar"/>
          </w:rPr>
          <w:t>geom_path()</w:t>
        </w:r>
      </w:hyperlink>
      <w:r>
        <w:t xml:space="preserve"> also u</w:t>
      </w:r>
      <w:r>
        <w:t xml:space="preserve">nderstand the aesthetic </w:t>
      </w:r>
      <w:r>
        <w:rPr>
          <w:rStyle w:val="VerbatimChar"/>
        </w:rPr>
        <w:t>linetype</w:t>
      </w:r>
      <w:r>
        <w:t>, which maps a categorical variable to solid, dotted and dashed lines.</w:t>
      </w:r>
    </w:p>
    <w:p w14:paraId="2EA347A1" w14:textId="77777777" w:rsidR="006B1874" w:rsidRDefault="00513A2B">
      <w:pPr>
        <w:numPr>
          <w:ilvl w:val="0"/>
          <w:numId w:val="4"/>
        </w:numPr>
      </w:pPr>
      <w:hyperlink r:id="rId16">
        <w:r>
          <w:rPr>
            <w:rStyle w:val="VerbatimChar"/>
          </w:rPr>
          <w:t>geom_point()</w:t>
        </w:r>
      </w:hyperlink>
      <w:r>
        <w:t xml:space="preserve"> produces a </w:t>
      </w:r>
      <w:r>
        <w:rPr>
          <w:b/>
          <w:bCs/>
        </w:rPr>
        <w:t>scatterplot</w:t>
      </w:r>
      <w:r>
        <w:t xml:space="preserve">. </w:t>
      </w:r>
      <w:hyperlink r:id="rId17">
        <w:r>
          <w:rPr>
            <w:rStyle w:val="VerbatimChar"/>
          </w:rPr>
          <w:t>geom_point()</w:t>
        </w:r>
      </w:hyperlink>
      <w:r>
        <w:t xml:space="preserve"> also understands the </w:t>
      </w:r>
      <w:r>
        <w:rPr>
          <w:rStyle w:val="VerbatimChar"/>
        </w:rPr>
        <w:t>shape</w:t>
      </w:r>
      <w:r>
        <w:t xml:space="preserve"> aesthetic.</w:t>
      </w:r>
    </w:p>
    <w:p w14:paraId="48FFC627" w14:textId="77777777" w:rsidR="006B1874" w:rsidRDefault="00513A2B">
      <w:pPr>
        <w:numPr>
          <w:ilvl w:val="0"/>
          <w:numId w:val="4"/>
        </w:numPr>
      </w:pPr>
      <w:hyperlink r:id="rId18">
        <w:r>
          <w:rPr>
            <w:rStyle w:val="VerbatimChar"/>
          </w:rPr>
          <w:t>geom_polygon()</w:t>
        </w:r>
      </w:hyperlink>
      <w:r>
        <w:t xml:space="preserve"> draws polygons, which are filled paths. Each vertex of the polygon requires a s</w:t>
      </w:r>
      <w:r>
        <w:t xml:space="preserve">eparate row in the data. It is often useful to merge a data frame of polygon coordinates with the data just prior to plotting. Section </w:t>
      </w:r>
      <w:hyperlink r:id="rId19" w:anchor="maps">
        <w:r>
          <w:rPr>
            <w:rStyle w:val="Hyperlink"/>
          </w:rPr>
          <w:t>6</w:t>
        </w:r>
      </w:hyperlink>
      <w:r>
        <w:t xml:space="preserve"> illustrates this concept in more detail for map data.</w:t>
      </w:r>
    </w:p>
    <w:p w14:paraId="176197C5" w14:textId="77777777" w:rsidR="006B1874" w:rsidRDefault="00513A2B">
      <w:pPr>
        <w:numPr>
          <w:ilvl w:val="0"/>
          <w:numId w:val="4"/>
        </w:numPr>
      </w:pPr>
      <w:hyperlink r:id="rId20">
        <w:r>
          <w:rPr>
            <w:rStyle w:val="VerbatimChar"/>
          </w:rPr>
          <w:t>geom_rect()</w:t>
        </w:r>
      </w:hyperlink>
      <w:r>
        <w:t xml:space="preserve">, </w:t>
      </w:r>
      <w:hyperlink r:id="rId21">
        <w:r>
          <w:rPr>
            <w:rStyle w:val="VerbatimChar"/>
          </w:rPr>
          <w:t>geom_tile()</w:t>
        </w:r>
      </w:hyperlink>
      <w:r>
        <w:t xml:space="preserve"> and </w:t>
      </w:r>
      <w:hyperlink r:id="rId22">
        <w:r>
          <w:rPr>
            <w:rStyle w:val="VerbatimChar"/>
          </w:rPr>
          <w:t>geom_r</w:t>
        </w:r>
        <w:r>
          <w:rPr>
            <w:rStyle w:val="VerbatimChar"/>
          </w:rPr>
          <w:t>aster()</w:t>
        </w:r>
      </w:hyperlink>
      <w:r>
        <w:t xml:space="preserve"> draw rectangles. </w:t>
      </w:r>
      <w:hyperlink r:id="rId23">
        <w:r>
          <w:rPr>
            <w:rStyle w:val="VerbatimChar"/>
          </w:rPr>
          <w:t>geom_rect()</w:t>
        </w:r>
      </w:hyperlink>
      <w:r>
        <w:t xml:space="preserve"> is parameterised by the four corners of the rectangle, </w:t>
      </w:r>
      <w:r>
        <w:rPr>
          <w:rStyle w:val="VerbatimChar"/>
        </w:rPr>
        <w:t>xmin</w:t>
      </w:r>
      <w:r>
        <w:t xml:space="preserve">, </w:t>
      </w:r>
      <w:r>
        <w:rPr>
          <w:rStyle w:val="VerbatimChar"/>
        </w:rPr>
        <w:t>ymin</w:t>
      </w:r>
      <w:r>
        <w:t xml:space="preserve">, </w:t>
      </w:r>
      <w:r>
        <w:rPr>
          <w:rStyle w:val="VerbatimChar"/>
        </w:rPr>
        <w:t>xmax</w:t>
      </w:r>
      <w:r>
        <w:t xml:space="preserve"> and </w:t>
      </w:r>
      <w:r>
        <w:rPr>
          <w:rStyle w:val="VerbatimChar"/>
        </w:rPr>
        <w:t>ymax</w:t>
      </w:r>
      <w:r>
        <w:t xml:space="preserve">. </w:t>
      </w:r>
      <w:hyperlink r:id="rId24">
        <w:r>
          <w:rPr>
            <w:rStyle w:val="VerbatimChar"/>
          </w:rPr>
          <w:t>geom_tile()</w:t>
        </w:r>
      </w:hyperlink>
      <w:r>
        <w:t xml:space="preserve"> is exactly the same, but parameterised by the center of the rect and its size, </w:t>
      </w:r>
      <w:r>
        <w:rPr>
          <w:rStyle w:val="VerbatimChar"/>
        </w:rPr>
        <w:t>x</w:t>
      </w:r>
      <w:r>
        <w:t xml:space="preserve">, </w:t>
      </w:r>
      <w:r>
        <w:rPr>
          <w:rStyle w:val="VerbatimChar"/>
        </w:rPr>
        <w:t>y</w:t>
      </w:r>
      <w:r>
        <w:t xml:space="preserve">, </w:t>
      </w:r>
      <w:r>
        <w:rPr>
          <w:rStyle w:val="VerbatimChar"/>
        </w:rPr>
        <w:t>width</w:t>
      </w:r>
      <w:r>
        <w:t xml:space="preserve"> and </w:t>
      </w:r>
      <w:r>
        <w:rPr>
          <w:rStyle w:val="VerbatimChar"/>
        </w:rPr>
        <w:t>height</w:t>
      </w:r>
      <w:r>
        <w:t xml:space="preserve">. </w:t>
      </w:r>
      <w:hyperlink r:id="rId25">
        <w:r>
          <w:rPr>
            <w:rStyle w:val="VerbatimChar"/>
          </w:rPr>
          <w:t>geom_raster()</w:t>
        </w:r>
      </w:hyperlink>
      <w:r>
        <w:t xml:space="preserve"> is a fast special case of </w:t>
      </w:r>
      <w:hyperlink r:id="rId26">
        <w:r>
          <w:rPr>
            <w:rStyle w:val="VerbatimChar"/>
          </w:rPr>
          <w:t>geom_tile()</w:t>
        </w:r>
      </w:hyperlink>
      <w:r>
        <w:t xml:space="preserve"> used when all the tiles are the same size. .</w:t>
      </w:r>
    </w:p>
    <w:p w14:paraId="16080CA1" w14:textId="77777777" w:rsidR="006B1874" w:rsidRDefault="00513A2B">
      <w:pPr>
        <w:pStyle w:val="Heading2"/>
      </w:pPr>
      <w:bookmarkStart w:id="7" w:name="collective-geoms-in-ggplot"/>
      <w:bookmarkEnd w:id="6"/>
      <w:r>
        <w:t>Collective Geoms in ggplot</w:t>
      </w:r>
    </w:p>
    <w:p w14:paraId="4DD92878" w14:textId="77777777" w:rsidR="006B1874" w:rsidRDefault="00513A2B">
      <w:pPr>
        <w:pStyle w:val="FirstParagraph"/>
      </w:pPr>
      <w:r>
        <w:t xml:space="preserve">An </w:t>
      </w:r>
      <w:r>
        <w:rPr>
          <w:b/>
          <w:bCs/>
        </w:rPr>
        <w:t>individual</w:t>
      </w:r>
      <w:r>
        <w:t xml:space="preserve"> </w:t>
      </w:r>
      <w:r>
        <w:rPr>
          <w:rStyle w:val="VerbatimChar"/>
        </w:rPr>
        <w:t>geom</w:t>
      </w:r>
      <w:r>
        <w:t xml:space="preserve"> </w:t>
      </w:r>
      <w:r>
        <w:t xml:space="preserve">draws a distinct graphical object for each observation (row). For example, the point geom draws one point per row. A </w:t>
      </w:r>
      <w:r>
        <w:rPr>
          <w:b/>
          <w:bCs/>
        </w:rPr>
        <w:t>collective</w:t>
      </w:r>
      <w:r>
        <w:t xml:space="preserve"> </w:t>
      </w:r>
      <w:r>
        <w:rPr>
          <w:rStyle w:val="VerbatimChar"/>
        </w:rPr>
        <w:t>geom</w:t>
      </w:r>
      <w:r>
        <w:t xml:space="preserve"> displays multiple observations with one geometric object. This may be a result of a statistical summary, like a boxplot, or</w:t>
      </w:r>
      <w:r>
        <w:t xml:space="preserve"> may be fundamental to the display of the geom, like a polygon. How do we control the assignment of observations to graphical elements? This is the job of the </w:t>
      </w:r>
      <w:r>
        <w:rPr>
          <w:rStyle w:val="VerbatimChar"/>
        </w:rPr>
        <w:t>group</w:t>
      </w:r>
      <w:r>
        <w:t xml:space="preserve"> aesthetic.</w:t>
      </w:r>
    </w:p>
    <w:p w14:paraId="1EF27556" w14:textId="77777777" w:rsidR="006B1874" w:rsidRDefault="00513A2B">
      <w:pPr>
        <w:pStyle w:val="BodyText"/>
      </w:pPr>
      <w:r>
        <w:t xml:space="preserve">By default, the </w:t>
      </w:r>
      <w:r>
        <w:rPr>
          <w:rStyle w:val="VerbatimChar"/>
        </w:rPr>
        <w:t>group</w:t>
      </w:r>
      <w:r>
        <w:t xml:space="preserve"> aesthetic is mapped to the interaction of all discrete var</w:t>
      </w:r>
      <w:r>
        <w:t>iables in the plot. This often partitions the data correctly. However, when the mapping is not automatic, or when no discrete variable is used in a plot, you’ll need to explicitly define the grouping structure to a variable that has a different value for e</w:t>
      </w:r>
      <w:r>
        <w:t>ach group.</w:t>
      </w:r>
    </w:p>
    <w:p w14:paraId="568C33BD" w14:textId="77777777" w:rsidR="006B1874" w:rsidRDefault="00513A2B">
      <w:pPr>
        <w:pStyle w:val="BodyText"/>
      </w:pPr>
      <w:r>
        <w:t xml:space="preserve">In the following examples, we will use a simple longitudinal dataset, </w:t>
      </w:r>
      <w:hyperlink r:id="rId27">
        <w:r>
          <w:rPr>
            <w:rStyle w:val="Hyperlink"/>
          </w:rPr>
          <w:t>Oxboys</w:t>
        </w:r>
      </w:hyperlink>
      <w:r>
        <w:t xml:space="preserve"> which is included in the </w:t>
      </w:r>
      <w:r>
        <w:rPr>
          <w:rStyle w:val="VerbatimChar"/>
        </w:rPr>
        <w:t>nlme</w:t>
      </w:r>
      <w:r>
        <w:t>package. It looks at the height of a selection of boys from Oxford, England ve</w:t>
      </w:r>
      <w:r>
        <w:t>rsus a standardized age. It records the heights (</w:t>
      </w:r>
      <w:r>
        <w:rPr>
          <w:rStyle w:val="VerbatimChar"/>
        </w:rPr>
        <w:t>height</w:t>
      </w:r>
      <w:r>
        <w:t>) and centered ages (</w:t>
      </w:r>
      <w:r>
        <w:rPr>
          <w:rStyle w:val="VerbatimChar"/>
        </w:rPr>
        <w:t>age</w:t>
      </w:r>
      <w:r>
        <w:t>) of 26 boys (</w:t>
      </w:r>
      <w:r>
        <w:rPr>
          <w:rStyle w:val="VerbatimChar"/>
        </w:rPr>
        <w:t>Subject</w:t>
      </w:r>
      <w:r>
        <w:t>), measured on nine occasions (</w:t>
      </w:r>
      <w:r>
        <w:rPr>
          <w:rStyle w:val="VerbatimChar"/>
        </w:rPr>
        <w:t>Occasion</w:t>
      </w:r>
      <w:r>
        <w:t xml:space="preserve">). </w:t>
      </w:r>
      <w:r>
        <w:rPr>
          <w:rStyle w:val="VerbatimChar"/>
        </w:rPr>
        <w:t>Subject</w:t>
      </w:r>
      <w:r>
        <w:t xml:space="preserve"> and </w:t>
      </w:r>
      <w:r>
        <w:rPr>
          <w:rStyle w:val="VerbatimChar"/>
        </w:rPr>
        <w:t>Occassion</w:t>
      </w:r>
      <w:r>
        <w:t xml:space="preserve"> are stored as ordered factors.</w:t>
      </w:r>
    </w:p>
    <w:p w14:paraId="5BA9CF25" w14:textId="77777777" w:rsidR="006B1874" w:rsidRDefault="00513A2B">
      <w:pPr>
        <w:pStyle w:val="SourceCode"/>
      </w:pPr>
      <w:r>
        <w:rPr>
          <w:rStyle w:val="FunctionTok"/>
        </w:rPr>
        <w:lastRenderedPageBreak/>
        <w:t>data</w:t>
      </w:r>
      <w:r>
        <w:rPr>
          <w:rStyle w:val="NormalTok"/>
        </w:rPr>
        <w:t xml:space="preserve">(Oxboys, </w:t>
      </w:r>
      <w:r>
        <w:rPr>
          <w:rStyle w:val="AttributeTok"/>
        </w:rPr>
        <w:t>package =</w:t>
      </w:r>
      <w:r>
        <w:rPr>
          <w:rStyle w:val="NormalTok"/>
        </w:rPr>
        <w:t xml:space="preserve"> </w:t>
      </w:r>
      <w:r>
        <w:rPr>
          <w:rStyle w:val="StringTok"/>
        </w:rPr>
        <w:t>"nlme"</w:t>
      </w:r>
      <w:r>
        <w:rPr>
          <w:rStyle w:val="NormalTok"/>
        </w:rPr>
        <w:t>)</w:t>
      </w:r>
      <w:r>
        <w:br/>
      </w:r>
      <w:r>
        <w:rPr>
          <w:rStyle w:val="FunctionTok"/>
        </w:rPr>
        <w:t>head</w:t>
      </w:r>
      <w:r>
        <w:rPr>
          <w:rStyle w:val="NormalTok"/>
        </w:rPr>
        <w:t>(Oxboys)</w:t>
      </w:r>
    </w:p>
    <w:p w14:paraId="1C7CB774" w14:textId="77777777" w:rsidR="006B1874" w:rsidRDefault="00513A2B">
      <w:pPr>
        <w:pStyle w:val="SourceCode"/>
      </w:pPr>
      <w:r>
        <w:rPr>
          <w:rStyle w:val="VerbatimChar"/>
        </w:rPr>
        <w:t xml:space="preserve">## Grouped Data: </w:t>
      </w:r>
      <w:r>
        <w:rPr>
          <w:rStyle w:val="VerbatimChar"/>
        </w:rPr>
        <w:t>height ~ age | Subject</w:t>
      </w:r>
      <w:r>
        <w:br/>
      </w:r>
      <w:r>
        <w:rPr>
          <w:rStyle w:val="VerbatimChar"/>
        </w:rPr>
        <w:t>##   Subject     age height Occasion</w:t>
      </w:r>
      <w:r>
        <w:br/>
      </w:r>
      <w:r>
        <w:rPr>
          <w:rStyle w:val="VerbatimChar"/>
        </w:rPr>
        <w:t>## 1       1 -1.0000  140.5        1</w:t>
      </w:r>
      <w:r>
        <w:br/>
      </w:r>
      <w:r>
        <w:rPr>
          <w:rStyle w:val="VerbatimChar"/>
        </w:rPr>
        <w:t>## 2       1 -0.7479  143.4        2</w:t>
      </w:r>
      <w:r>
        <w:br/>
      </w:r>
      <w:r>
        <w:rPr>
          <w:rStyle w:val="VerbatimChar"/>
        </w:rPr>
        <w:t>## 3       1 -0.4630  144.8        3</w:t>
      </w:r>
      <w:r>
        <w:br/>
      </w:r>
      <w:r>
        <w:rPr>
          <w:rStyle w:val="VerbatimChar"/>
        </w:rPr>
        <w:t>## 4       1 -0.1643  147.1        4</w:t>
      </w:r>
      <w:r>
        <w:br/>
      </w:r>
      <w:r>
        <w:rPr>
          <w:rStyle w:val="VerbatimChar"/>
        </w:rPr>
        <w:t>## 5       1 -0.0027  147.7        5</w:t>
      </w:r>
      <w:r>
        <w:br/>
      </w:r>
      <w:r>
        <w:rPr>
          <w:rStyle w:val="VerbatimChar"/>
        </w:rPr>
        <w:t xml:space="preserve">## 6       </w:t>
      </w:r>
      <w:r>
        <w:rPr>
          <w:rStyle w:val="VerbatimChar"/>
        </w:rPr>
        <w:t>1  0.2466  150.2        6</w:t>
      </w:r>
    </w:p>
    <w:p w14:paraId="77969E07" w14:textId="77777777" w:rsidR="006B1874" w:rsidRDefault="00513A2B">
      <w:pPr>
        <w:pStyle w:val="Heading3"/>
      </w:pPr>
      <w:bookmarkStart w:id="8" w:name="multiple-groups-one-aesthetic"/>
      <w:r>
        <w:t>Multiple groups, one aesthetic</w:t>
      </w:r>
    </w:p>
    <w:p w14:paraId="683957EB" w14:textId="77777777" w:rsidR="006B1874" w:rsidRDefault="00513A2B">
      <w:pPr>
        <w:pStyle w:val="FirstParagraph"/>
      </w:pPr>
      <w:r>
        <w:t>In many situations, you want to separate your data into groups, but render them in the same way. In other words, you want to be able to distinguish individual subjects, but not identify them. This is</w:t>
      </w:r>
      <w:r>
        <w:t xml:space="preserve"> common in longitudinal studies with many subjects, where the plots are often descriptively called spaghetti plots. For example, the following plot shows the growth trajectory for each boy (each </w:t>
      </w:r>
      <w:r>
        <w:rPr>
          <w:rStyle w:val="VerbatimChar"/>
        </w:rPr>
        <w:t>Subject</w:t>
      </w:r>
      <w:r>
        <w:t>). Without grouping, ggplot will make its best judgeme</w:t>
      </w:r>
      <w:r>
        <w:t>nt, when displaying the graph</w:t>
      </w:r>
    </w:p>
    <w:p w14:paraId="7AEEC96E" w14:textId="77777777" w:rsidR="006B1874" w:rsidRDefault="00513A2B">
      <w:pPr>
        <w:pStyle w:val="SourceCode"/>
      </w:pPr>
      <w:r>
        <w:rPr>
          <w:rStyle w:val="NormalTok"/>
        </w:rPr>
        <w:t xml:space="preserve">Oxboys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height))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p>
    <w:p w14:paraId="35B272DA" w14:textId="77777777" w:rsidR="006B1874" w:rsidRDefault="00513A2B">
      <w:pPr>
        <w:pStyle w:val="FirstParagraph"/>
      </w:pPr>
      <w:r>
        <w:rPr>
          <w:noProof/>
        </w:rPr>
        <w:drawing>
          <wp:inline distT="0" distB="0" distL="0" distR="0" wp14:anchorId="67633F03" wp14:editId="657547D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esson_XX_gemo_review_files/figure-docx/unnamed-chunk-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9ECF2A2" w14:textId="77777777" w:rsidR="006B1874" w:rsidRDefault="00513A2B">
      <w:pPr>
        <w:pStyle w:val="BodyText"/>
      </w:pPr>
      <w:r>
        <w:t>This is certainly not what we want, and we get a graph that has a saw tooth appearance:</w:t>
      </w:r>
    </w:p>
    <w:p w14:paraId="3224F7BC" w14:textId="77777777" w:rsidR="006B1874" w:rsidRDefault="00513A2B">
      <w:pPr>
        <w:pStyle w:val="SourceCode"/>
      </w:pPr>
      <w:r>
        <w:rPr>
          <w:rStyle w:val="NormalTok"/>
        </w:rPr>
        <w:lastRenderedPageBreak/>
        <w:t xml:space="preserve">Oxboys </w:t>
      </w:r>
      <w:r>
        <w:rPr>
          <w:rStyle w:val="SpecialCharTok"/>
        </w:rPr>
        <w:t>%&gt;%</w:t>
      </w:r>
      <w:r>
        <w:rPr>
          <w:rStyle w:val="NormalTok"/>
        </w:rPr>
        <w:t xml:space="preserve"> </w:t>
      </w:r>
      <w:r>
        <w:br/>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height, </w:t>
      </w:r>
      <w:r>
        <w:rPr>
          <w:rStyle w:val="AttributeTok"/>
        </w:rPr>
        <w:t>group =</w:t>
      </w:r>
      <w:r>
        <w:rPr>
          <w:rStyle w:val="NormalTok"/>
        </w:rPr>
        <w:t xml:space="preserve"> Subject))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p>
    <w:p w14:paraId="4F40BAB1" w14:textId="77777777" w:rsidR="006B1874" w:rsidRDefault="00513A2B">
      <w:pPr>
        <w:pStyle w:val="FirstParagraph"/>
      </w:pPr>
      <w:r>
        <w:rPr>
          <w:noProof/>
        </w:rPr>
        <w:drawing>
          <wp:inline distT="0" distB="0" distL="0" distR="0" wp14:anchorId="5F5185E0" wp14:editId="5589D7D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esson_XX_gemo_review_files/figure-docx/unnamed-chunk-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146F883" w14:textId="77777777" w:rsidR="006B1874" w:rsidRDefault="00513A2B">
      <w:pPr>
        <w:pStyle w:val="Heading2"/>
      </w:pPr>
      <w:bookmarkStart w:id="9" w:name="different-groups-on-different-layers"/>
      <w:bookmarkEnd w:id="7"/>
      <w:bookmarkEnd w:id="8"/>
      <w:r>
        <w:t>Different groups on different layers</w:t>
      </w:r>
    </w:p>
    <w:p w14:paraId="1AB875C3" w14:textId="77777777" w:rsidR="006B1874" w:rsidRDefault="00513A2B">
      <w:pPr>
        <w:pStyle w:val="FirstParagraph"/>
      </w:pPr>
      <w:r>
        <w:t>Sometimes we want to plot summaries that</w:t>
      </w:r>
      <w:r>
        <w:t xml:space="preserve"> use different levels of aggregation: one layer might display individuals, while another displays an overall summary. Building on the previous example, suppose we want to add a single smooth line, showing the overall trend for </w:t>
      </w:r>
      <w:r>
        <w:rPr>
          <w:i/>
          <w:iCs/>
        </w:rPr>
        <w:t>all</w:t>
      </w:r>
      <w:r>
        <w:t xml:space="preserve"> boys. If we use the same </w:t>
      </w:r>
      <w:r>
        <w:t>grouping in both layers, we get one smooth line per boy:</w:t>
      </w:r>
    </w:p>
    <w:p w14:paraId="318A67D9" w14:textId="77777777" w:rsidR="006B1874" w:rsidRDefault="00513A2B">
      <w:pPr>
        <w:pStyle w:val="SourceCode"/>
      </w:pPr>
      <w:r>
        <w:rPr>
          <w:rStyle w:val="NormalTok"/>
        </w:rPr>
        <w:t xml:space="preserve">Oxboys </w:t>
      </w:r>
      <w:r>
        <w:rPr>
          <w:rStyle w:val="SpecialCharTok"/>
        </w:rPr>
        <w:t>%&gt;%</w:t>
      </w:r>
      <w:r>
        <w:rPr>
          <w:rStyle w:val="NormalTok"/>
        </w:rPr>
        <w:t xml:space="preserve"> </w:t>
      </w:r>
      <w:r>
        <w:br/>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height, </w:t>
      </w:r>
      <w:r>
        <w:rPr>
          <w:rStyle w:val="AttributeTok"/>
        </w:rPr>
        <w:t>group =</w:t>
      </w:r>
      <w:r>
        <w:rPr>
          <w:rStyle w:val="NormalTok"/>
        </w:rPr>
        <w:t xml:space="preserve"> Subject))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w:t>
      </w:r>
    </w:p>
    <w:p w14:paraId="25BEC30B" w14:textId="77777777" w:rsidR="006B1874" w:rsidRDefault="00513A2B">
      <w:pPr>
        <w:pStyle w:val="SourceCode"/>
      </w:pPr>
      <w:r>
        <w:rPr>
          <w:rStyle w:val="VerbatimChar"/>
        </w:rPr>
        <w:t>## `geom_smooth()` using formula 'y ~ x'</w:t>
      </w:r>
    </w:p>
    <w:p w14:paraId="224D389B" w14:textId="77777777" w:rsidR="006B1874" w:rsidRDefault="00513A2B">
      <w:pPr>
        <w:pStyle w:val="FirstParagraph"/>
      </w:pPr>
      <w:r>
        <w:rPr>
          <w:noProof/>
        </w:rPr>
        <w:lastRenderedPageBreak/>
        <w:drawing>
          <wp:inline distT="0" distB="0" distL="0" distR="0" wp14:anchorId="242B0BEF" wp14:editId="227590B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esson_XX_gemo_review_files/figure-docx/unnamed-chunk-6-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781459A" w14:textId="77777777" w:rsidR="006B1874" w:rsidRDefault="00513A2B">
      <w:pPr>
        <w:pStyle w:val="BodyText"/>
      </w:pPr>
      <w:r>
        <w:t>This is not what we wan</w:t>
      </w:r>
      <w:r>
        <w:t>ted; we have added a smoothed line for each boy. Grouping controls both the display of the geoms, and the operation of the stats: one statistical transformation is run for each group.</w:t>
      </w:r>
    </w:p>
    <w:p w14:paraId="0557D205" w14:textId="77777777" w:rsidR="006B1874" w:rsidRDefault="00513A2B">
      <w:pPr>
        <w:pStyle w:val="BodyText"/>
      </w:pPr>
      <w:r>
        <w:t xml:space="preserve">Instead of setting the grouping aesthetic in </w:t>
      </w:r>
      <w:hyperlink r:id="rId31">
        <w:r>
          <w:rPr>
            <w:rStyle w:val="VerbatimChar"/>
          </w:rPr>
          <w:t>ggplot()</w:t>
        </w:r>
      </w:hyperlink>
      <w:r>
        <w:t xml:space="preserve">, where it will apply to all layers, we set it in </w:t>
      </w:r>
      <w:hyperlink r:id="rId32">
        <w:r>
          <w:rPr>
            <w:rStyle w:val="VerbatimChar"/>
          </w:rPr>
          <w:t>geom_line()</w:t>
        </w:r>
      </w:hyperlink>
      <w:r>
        <w:t xml:space="preserve"> so it applies only to the lines. There are no discrete variables in the plot so the default grouping variable will be a constant and we get one smooth.</w:t>
      </w:r>
    </w:p>
    <w:p w14:paraId="1520B3F7" w14:textId="77777777" w:rsidR="006B1874" w:rsidRDefault="00513A2B">
      <w:pPr>
        <w:pStyle w:val="SourceCode"/>
      </w:pPr>
      <w:r>
        <w:rPr>
          <w:rStyle w:val="FunctionTok"/>
        </w:rPr>
        <w:t>ggplot</w:t>
      </w:r>
      <w:r>
        <w:rPr>
          <w:rStyle w:val="NormalTok"/>
        </w:rPr>
        <w:t xml:space="preserve">(Oxboys, </w:t>
      </w:r>
      <w:r>
        <w:rPr>
          <w:rStyle w:val="FunctionTok"/>
        </w:rPr>
        <w:t>aes</w:t>
      </w:r>
      <w:r>
        <w:rPr>
          <w:rStyle w:val="NormalTok"/>
        </w:rPr>
        <w:t>(a</w:t>
      </w:r>
      <w:r>
        <w:rPr>
          <w:rStyle w:val="NormalTok"/>
        </w:rPr>
        <w:t xml:space="preserve">ge, height))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Subject))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size =</w:t>
      </w:r>
      <w:r>
        <w:rPr>
          <w:rStyle w:val="NormalTok"/>
        </w:rPr>
        <w:t xml:space="preserve"> </w:t>
      </w:r>
      <w:r>
        <w:rPr>
          <w:rStyle w:val="DecValTok"/>
        </w:rPr>
        <w:t>2</w:t>
      </w:r>
      <w:r>
        <w:rPr>
          <w:rStyle w:val="NormalTok"/>
        </w:rPr>
        <w:t xml:space="preserve">, </w:t>
      </w:r>
      <w:r>
        <w:rPr>
          <w:rStyle w:val="AttributeTok"/>
        </w:rPr>
        <w:t>se =</w:t>
      </w:r>
      <w:r>
        <w:rPr>
          <w:rStyle w:val="NormalTok"/>
        </w:rPr>
        <w:t xml:space="preserve"> </w:t>
      </w:r>
      <w:r>
        <w:rPr>
          <w:rStyle w:val="ConstantTok"/>
        </w:rPr>
        <w:t>FALSE</w:t>
      </w:r>
      <w:r>
        <w:rPr>
          <w:rStyle w:val="NormalTok"/>
        </w:rPr>
        <w:t>)</w:t>
      </w:r>
    </w:p>
    <w:p w14:paraId="22A4D805" w14:textId="77777777" w:rsidR="006B1874" w:rsidRDefault="00513A2B">
      <w:pPr>
        <w:pStyle w:val="SourceCode"/>
      </w:pPr>
      <w:r>
        <w:rPr>
          <w:rStyle w:val="VerbatimChar"/>
        </w:rPr>
        <w:t>## `geom_smooth()` using formula 'y ~ x'</w:t>
      </w:r>
    </w:p>
    <w:p w14:paraId="29000C60" w14:textId="77777777" w:rsidR="006B1874" w:rsidRDefault="00513A2B">
      <w:pPr>
        <w:pStyle w:val="FirstParagraph"/>
      </w:pPr>
      <w:r>
        <w:rPr>
          <w:noProof/>
        </w:rPr>
        <w:lastRenderedPageBreak/>
        <w:drawing>
          <wp:inline distT="0" distB="0" distL="0" distR="0" wp14:anchorId="133D7B80" wp14:editId="38B787C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esson_XX_gemo_review_files/figure-docx/unnamed-chunk-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1E784D3" w14:textId="77777777" w:rsidR="006B1874" w:rsidRDefault="00513A2B">
      <w:pPr>
        <w:pStyle w:val="Heading1"/>
      </w:pPr>
      <w:bookmarkStart w:id="10" w:name="examples-from-class"/>
      <w:bookmarkEnd w:id="5"/>
      <w:bookmarkEnd w:id="9"/>
      <w:r>
        <w:t>Examples from Class</w:t>
      </w:r>
    </w:p>
    <w:p w14:paraId="29DF487D" w14:textId="77777777" w:rsidR="006B1874" w:rsidRDefault="00513A2B">
      <w:pPr>
        <w:pStyle w:val="Heading3"/>
      </w:pPr>
      <w:bookmarkStart w:id="11" w:name="X9d176887ba7ae3dcb1d967bcdef7290e05f2d9e"/>
      <w:r>
        <w:t>Example 1: col = respondent_wall_type in ggplot statement (Doug Version)</w:t>
      </w:r>
    </w:p>
    <w:p w14:paraId="75ECBD96" w14:textId="77777777" w:rsidR="006B1874" w:rsidRDefault="00513A2B">
      <w:pPr>
        <w:pStyle w:val="SourceCode"/>
      </w:pPr>
      <w:r>
        <w:rPr>
          <w:rStyle w:val="NormalTok"/>
        </w:rPr>
        <w:t>interviews_plott</w:t>
      </w:r>
      <w:r>
        <w:rPr>
          <w:rStyle w:val="NormalTok"/>
        </w:rPr>
        <w:t xml:space="preserve">ing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village, </w:t>
      </w:r>
      <w:r>
        <w:rPr>
          <w:rStyle w:val="AttributeTok"/>
        </w:rPr>
        <w:t>y =</w:t>
      </w:r>
      <w:r>
        <w:rPr>
          <w:rStyle w:val="NormalTok"/>
        </w:rPr>
        <w:t xml:space="preserve"> rooms)) </w:t>
      </w:r>
      <w:r>
        <w:rPr>
          <w:rStyle w:val="SpecialCharTok"/>
        </w:rPr>
        <w:t>+</w:t>
      </w:r>
      <w:r>
        <w:br/>
      </w:r>
      <w:r>
        <w:rPr>
          <w:rStyle w:val="NormalTok"/>
        </w:rPr>
        <w:t xml:space="preserve">  </w:t>
      </w:r>
      <w:r>
        <w:rPr>
          <w:rStyle w:val="FunctionTok"/>
        </w:rPr>
        <w:t>geom_jitter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col =</w:t>
      </w:r>
      <w:r>
        <w:rPr>
          <w:rStyle w:val="NormalTok"/>
        </w:rPr>
        <w:t xml:space="preserve"> respondent_wall_type))</w:t>
      </w:r>
    </w:p>
    <w:p w14:paraId="16321859" w14:textId="77777777" w:rsidR="006B1874" w:rsidRDefault="00513A2B">
      <w:pPr>
        <w:pStyle w:val="FirstParagraph"/>
      </w:pPr>
      <w:r>
        <w:rPr>
          <w:noProof/>
        </w:rPr>
        <w:lastRenderedPageBreak/>
        <w:drawing>
          <wp:inline distT="0" distB="0" distL="0" distR="0" wp14:anchorId="73E00865" wp14:editId="74AF129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esson_XX_gemo_review_files/figure-docx/Example%201-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ADCB8F8" w14:textId="77777777" w:rsidR="006B1874" w:rsidRDefault="00513A2B">
      <w:pPr>
        <w:pStyle w:val="Heading3"/>
      </w:pPr>
      <w:bookmarkStart w:id="12" w:name="X0570651001284e980c33c9733811429f9292d31"/>
      <w:bookmarkEnd w:id="11"/>
      <w:r>
        <w:t>Example 1: Implications when you add another layer (Doug version)</w:t>
      </w:r>
    </w:p>
    <w:p w14:paraId="20B0C322" w14:textId="77777777" w:rsidR="006B1874" w:rsidRDefault="00513A2B">
      <w:pPr>
        <w:pStyle w:val="SourceCode"/>
      </w:pPr>
      <w:r>
        <w:rPr>
          <w:rStyle w:val="NormalTok"/>
        </w:rPr>
        <w:t xml:space="preserve">interviews_plotting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village, </w:t>
      </w:r>
      <w:r>
        <w:rPr>
          <w:rStyle w:val="AttributeTok"/>
        </w:rPr>
        <w:t>y =</w:t>
      </w:r>
      <w:r>
        <w:rPr>
          <w:rStyle w:val="NormalTok"/>
        </w:rPr>
        <w:t xml:space="preserve"> rooms)) </w:t>
      </w:r>
      <w:r>
        <w:rPr>
          <w:rStyle w:val="SpecialCharTok"/>
        </w:rPr>
        <w:t>+</w:t>
      </w:r>
      <w:r>
        <w:br/>
      </w:r>
      <w:r>
        <w:rPr>
          <w:rStyle w:val="NormalTok"/>
        </w:rPr>
        <w:t xml:space="preserve">  </w:t>
      </w:r>
      <w:r>
        <w:rPr>
          <w:rStyle w:val="FunctionTok"/>
        </w:rPr>
        <w:t>geom_jitter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col =</w:t>
      </w:r>
      <w:r>
        <w:rPr>
          <w:rStyle w:val="NormalTok"/>
        </w:rPr>
        <w:t xml:space="preserve"> respondent_wall_type)) </w:t>
      </w:r>
      <w:r>
        <w:rPr>
          <w:rStyle w:val="SpecialCharTok"/>
        </w:rPr>
        <w:t>+</w:t>
      </w:r>
      <w:r>
        <w:br/>
      </w:r>
      <w:r>
        <w:rPr>
          <w:rStyle w:val="NormalTok"/>
        </w:rPr>
        <w:t xml:space="preserve">  </w:t>
      </w:r>
      <w:r>
        <w:rPr>
          <w:rStyle w:val="FunctionTok"/>
        </w:rPr>
        <w:t>geom_violin</w:t>
      </w:r>
      <w:r>
        <w:rPr>
          <w:rStyle w:val="NormalTok"/>
        </w:rPr>
        <w:t>(</w:t>
      </w:r>
      <w:r>
        <w:rPr>
          <w:rStyle w:val="AttributeTok"/>
        </w:rPr>
        <w:t>alpha =</w:t>
      </w:r>
      <w:r>
        <w:rPr>
          <w:rStyle w:val="NormalTok"/>
        </w:rPr>
        <w:t xml:space="preserve"> </w:t>
      </w:r>
      <w:r>
        <w:rPr>
          <w:rStyle w:val="FloatTok"/>
        </w:rPr>
        <w:t>0.5</w:t>
      </w:r>
      <w:r>
        <w:rPr>
          <w:rStyle w:val="NormalTok"/>
        </w:rPr>
        <w:t>)</w:t>
      </w:r>
    </w:p>
    <w:p w14:paraId="383ABC4E" w14:textId="77777777" w:rsidR="006B1874" w:rsidRDefault="00513A2B">
      <w:pPr>
        <w:pStyle w:val="FirstParagraph"/>
      </w:pPr>
      <w:r>
        <w:rPr>
          <w:noProof/>
        </w:rPr>
        <w:lastRenderedPageBreak/>
        <w:drawing>
          <wp:inline distT="0" distB="0" distL="0" distR="0" wp14:anchorId="7B69D7B0" wp14:editId="2684863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esson_XX_gemo_review_files/figure-docx/Example%201:%20Modification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056C4B8" w14:textId="77777777" w:rsidR="006B1874" w:rsidRDefault="00513A2B">
      <w:pPr>
        <w:pStyle w:val="Heading2"/>
      </w:pPr>
      <w:bookmarkStart w:id="13" w:name="X802dc6a92e118c890d437ce84ec3f36daf2ea61"/>
      <w:bookmarkEnd w:id="12"/>
      <w:r>
        <w:t>Example 2: col = respondent_wall_type in ggplot statement (Other Version)</w:t>
      </w:r>
    </w:p>
    <w:p w14:paraId="5BC58C27" w14:textId="77777777" w:rsidR="006B1874" w:rsidRDefault="00513A2B">
      <w:pPr>
        <w:pStyle w:val="SourceCode"/>
      </w:pPr>
      <w:r>
        <w:rPr>
          <w:rStyle w:val="NormalTok"/>
        </w:rPr>
        <w:t xml:space="preserve">interviews_plotting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village, </w:t>
      </w:r>
      <w:r>
        <w:rPr>
          <w:rStyle w:val="AttributeTok"/>
        </w:rPr>
        <w:t>y =</w:t>
      </w:r>
      <w:r>
        <w:rPr>
          <w:rStyle w:val="NormalTok"/>
        </w:rPr>
        <w:t xml:space="preserve"> rooms, </w:t>
      </w:r>
      <w:r>
        <w:rPr>
          <w:rStyle w:val="AttributeTok"/>
        </w:rPr>
        <w:t>col =</w:t>
      </w:r>
      <w:r>
        <w:rPr>
          <w:rStyle w:val="NormalTok"/>
        </w:rPr>
        <w:t xml:space="preserve"> respo</w:t>
      </w:r>
      <w:r>
        <w:rPr>
          <w:rStyle w:val="NormalTok"/>
        </w:rPr>
        <w:t xml:space="preserve">ndent_wall_type)) </w:t>
      </w:r>
      <w:r>
        <w:rPr>
          <w:rStyle w:val="SpecialCharTok"/>
        </w:rPr>
        <w:t>+</w:t>
      </w:r>
      <w:r>
        <w:br/>
      </w:r>
      <w:r>
        <w:rPr>
          <w:rStyle w:val="NormalTok"/>
        </w:rPr>
        <w:t xml:space="preserve">  </w:t>
      </w:r>
      <w:r>
        <w:rPr>
          <w:rStyle w:val="FunctionTok"/>
        </w:rPr>
        <w:t>geom_jitter</w:t>
      </w:r>
      <w:r>
        <w:rPr>
          <w:rStyle w:val="NormalTok"/>
        </w:rPr>
        <w:t>()</w:t>
      </w:r>
    </w:p>
    <w:p w14:paraId="449E8EAE" w14:textId="77777777" w:rsidR="006B1874" w:rsidRDefault="00513A2B">
      <w:pPr>
        <w:pStyle w:val="FirstParagraph"/>
      </w:pPr>
      <w:r>
        <w:rPr>
          <w:noProof/>
        </w:rPr>
        <w:lastRenderedPageBreak/>
        <w:drawing>
          <wp:inline distT="0" distB="0" distL="0" distR="0" wp14:anchorId="451E52AF" wp14:editId="3756E7D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esson_XX_gemo_review_files/figure-docx/Example%202-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1D4933D" w14:textId="77777777" w:rsidR="006B1874" w:rsidRDefault="00513A2B">
      <w:pPr>
        <w:pStyle w:val="Heading3"/>
      </w:pPr>
      <w:bookmarkStart w:id="14" w:name="Xe3cf582bcf7a0b4da10dab58ff669a3ede86708"/>
      <w:r>
        <w:t>Example 2: Implications when you add another layer (Other Version)</w:t>
      </w:r>
    </w:p>
    <w:p w14:paraId="23213F76" w14:textId="77777777" w:rsidR="006B1874" w:rsidRDefault="00513A2B">
      <w:pPr>
        <w:pStyle w:val="SourceCode"/>
      </w:pPr>
      <w:r>
        <w:rPr>
          <w:rStyle w:val="NormalTok"/>
        </w:rPr>
        <w:t xml:space="preserve">interviews_plotting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village, </w:t>
      </w:r>
      <w:r>
        <w:rPr>
          <w:rStyle w:val="AttributeTok"/>
        </w:rPr>
        <w:t>y =</w:t>
      </w:r>
      <w:r>
        <w:rPr>
          <w:rStyle w:val="NormalTok"/>
        </w:rPr>
        <w:t xml:space="preserve"> rooms, </w:t>
      </w:r>
      <w:r>
        <w:rPr>
          <w:rStyle w:val="AttributeTok"/>
        </w:rPr>
        <w:t>col =</w:t>
      </w:r>
      <w:r>
        <w:rPr>
          <w:rStyle w:val="NormalTok"/>
        </w:rPr>
        <w:t xml:space="preserve"> respondent_wall_type))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geom_violin</w:t>
      </w:r>
      <w:r>
        <w:rPr>
          <w:rStyle w:val="NormalTok"/>
        </w:rPr>
        <w:t>(</w:t>
      </w:r>
      <w:r>
        <w:rPr>
          <w:rStyle w:val="AttributeTok"/>
        </w:rPr>
        <w:t>alpha =</w:t>
      </w:r>
      <w:r>
        <w:rPr>
          <w:rStyle w:val="NormalTok"/>
        </w:rPr>
        <w:t xml:space="preserve"> </w:t>
      </w:r>
      <w:r>
        <w:rPr>
          <w:rStyle w:val="FloatTok"/>
        </w:rPr>
        <w:t>0.5</w:t>
      </w:r>
      <w:r>
        <w:rPr>
          <w:rStyle w:val="NormalTok"/>
        </w:rPr>
        <w:t>)</w:t>
      </w:r>
    </w:p>
    <w:p w14:paraId="4D8C6377" w14:textId="77777777" w:rsidR="006B1874" w:rsidRDefault="00513A2B">
      <w:pPr>
        <w:pStyle w:val="SourceCode"/>
      </w:pPr>
      <w:r>
        <w:rPr>
          <w:rStyle w:val="VerbatimChar"/>
        </w:rPr>
        <w:t>## Warning: Groups with fewer than two data points have been dropped.</w:t>
      </w:r>
      <w:r>
        <w:br/>
      </w:r>
      <w:r>
        <w:rPr>
          <w:rStyle w:val="VerbatimChar"/>
        </w:rPr>
        <w:t>## Groups with fewer than two data points have been dropped.</w:t>
      </w:r>
    </w:p>
    <w:p w14:paraId="1DD09EA7" w14:textId="77777777" w:rsidR="006B1874" w:rsidRDefault="00513A2B">
      <w:pPr>
        <w:pStyle w:val="FirstParagraph"/>
      </w:pPr>
      <w:r>
        <w:rPr>
          <w:noProof/>
        </w:rPr>
        <w:lastRenderedPageBreak/>
        <w:drawing>
          <wp:inline distT="0" distB="0" distL="0" distR="0" wp14:anchorId="1C088B35" wp14:editId="0ED125E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esson_XX_gemo_review_files/figure-docx/Example%202:%20Modifications-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bookmarkEnd w:id="10"/>
      <w:bookmarkEnd w:id="13"/>
      <w:bookmarkEnd w:id="14"/>
    </w:p>
    <w:sectPr w:rsidR="006B18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7619" w14:textId="77777777" w:rsidR="00513A2B" w:rsidRDefault="00513A2B">
      <w:pPr>
        <w:spacing w:after="0"/>
      </w:pPr>
      <w:r>
        <w:separator/>
      </w:r>
    </w:p>
  </w:endnote>
  <w:endnote w:type="continuationSeparator" w:id="0">
    <w:p w14:paraId="055D0946" w14:textId="77777777" w:rsidR="00513A2B" w:rsidRDefault="00513A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1B86F" w14:textId="77777777" w:rsidR="00513A2B" w:rsidRDefault="00513A2B">
      <w:r>
        <w:separator/>
      </w:r>
    </w:p>
  </w:footnote>
  <w:footnote w:type="continuationSeparator" w:id="0">
    <w:p w14:paraId="48D31D4F" w14:textId="77777777" w:rsidR="00513A2B" w:rsidRDefault="00513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53E92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1055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74"/>
    <w:rsid w:val="00507FD8"/>
    <w:rsid w:val="00513A2B"/>
    <w:rsid w:val="006B18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3140"/>
  <w15:docId w15:val="{8B536775-7BC5-4A8D-98CA-31F6E841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gplot2.tidyverse.org/reference/geom_path.html" TargetMode="External"/><Relationship Id="rId18" Type="http://schemas.openxmlformats.org/officeDocument/2006/relationships/hyperlink" Target="https://ggplot2.tidyverse.org/reference/geom_polygon.html" TargetMode="External"/><Relationship Id="rId26" Type="http://schemas.openxmlformats.org/officeDocument/2006/relationships/hyperlink" Target="https://ggplot2.tidyverse.org/reference/geom_tile.html" TargetMode="External"/><Relationship Id="rId39" Type="http://schemas.openxmlformats.org/officeDocument/2006/relationships/theme" Target="theme/theme1.xml"/><Relationship Id="rId21" Type="http://schemas.openxmlformats.org/officeDocument/2006/relationships/hyperlink" Target="https://ggplot2.tidyverse.org/reference/geom_tile.html" TargetMode="External"/><Relationship Id="rId34" Type="http://schemas.openxmlformats.org/officeDocument/2006/relationships/image" Target="media/image5.png"/><Relationship Id="rId7" Type="http://schemas.openxmlformats.org/officeDocument/2006/relationships/hyperlink" Target="https://ggplot2.tidyverse.org/reference/geom_ribbon.html" TargetMode="External"/><Relationship Id="rId12" Type="http://schemas.openxmlformats.org/officeDocument/2006/relationships/hyperlink" Target="https://ggplot2.tidyverse.org/reference/geom_path.html" TargetMode="External"/><Relationship Id="rId17" Type="http://schemas.openxmlformats.org/officeDocument/2006/relationships/hyperlink" Target="https://ggplot2.tidyverse.org/reference/geom_point.html" TargetMode="External"/><Relationship Id="rId25" Type="http://schemas.openxmlformats.org/officeDocument/2006/relationships/hyperlink" Target="https://ggplot2.tidyverse.org/reference/geom_tile.html"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gplot2.tidyverse.org/reference/geom_point.html" TargetMode="External"/><Relationship Id="rId20" Type="http://schemas.openxmlformats.org/officeDocument/2006/relationships/hyperlink" Target="https://ggplot2.tidyverse.org/reference/geom_tile.ht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gplot2-book.org/collective-geoms.html" TargetMode="External"/><Relationship Id="rId24" Type="http://schemas.openxmlformats.org/officeDocument/2006/relationships/hyperlink" Target="https://ggplot2.tidyverse.org/reference/geom_tile.html" TargetMode="External"/><Relationship Id="rId32" Type="http://schemas.openxmlformats.org/officeDocument/2006/relationships/hyperlink" Target="https://ggplot2.tidyverse.org/reference/geom_path.html" TargetMode="External"/><Relationship Id="rId37"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ggplot2.tidyverse.org/reference/geom_path.html" TargetMode="External"/><Relationship Id="rId23" Type="http://schemas.openxmlformats.org/officeDocument/2006/relationships/hyperlink" Target="https://ggplot2.tidyverse.org/reference/geom_tile.html" TargetMode="External"/><Relationship Id="rId28" Type="http://schemas.openxmlformats.org/officeDocument/2006/relationships/image" Target="media/image1.png"/><Relationship Id="rId36" Type="http://schemas.openxmlformats.org/officeDocument/2006/relationships/image" Target="media/image7.png"/><Relationship Id="rId10" Type="http://schemas.openxmlformats.org/officeDocument/2006/relationships/hyperlink" Target="https://ggplot2.tidyverse.org/reference/geom_path.html" TargetMode="External"/><Relationship Id="rId19" Type="http://schemas.openxmlformats.org/officeDocument/2006/relationships/hyperlink" Target="https://ggplot2-book.org/maps.html" TargetMode="External"/><Relationship Id="rId31" Type="http://schemas.openxmlformats.org/officeDocument/2006/relationships/hyperlink" Target="https://ggplot2.tidyverse.org/reference/ggplot.html" TargetMode="External"/><Relationship Id="rId4" Type="http://schemas.openxmlformats.org/officeDocument/2006/relationships/webSettings" Target="webSettings.xml"/><Relationship Id="rId9" Type="http://schemas.openxmlformats.org/officeDocument/2006/relationships/hyperlink" Target="https://ggplot2-book.org/statistical-summaries.html" TargetMode="External"/><Relationship Id="rId14" Type="http://schemas.openxmlformats.org/officeDocument/2006/relationships/hyperlink" Target="https://ggplot2.tidyverse.org/reference/geom_path.html" TargetMode="External"/><Relationship Id="rId22" Type="http://schemas.openxmlformats.org/officeDocument/2006/relationships/hyperlink" Target="https://ggplot2.tidyverse.org/reference/geom_tile.html" TargetMode="External"/><Relationship Id="rId27" Type="http://schemas.openxmlformats.org/officeDocument/2006/relationships/hyperlink" Target="https://rdrr.io/cran/nlme/man/Oxboys.html" TargetMode="External"/><Relationship Id="rId30" Type="http://schemas.openxmlformats.org/officeDocument/2006/relationships/image" Target="media/image3.png"/><Relationship Id="rId35" Type="http://schemas.openxmlformats.org/officeDocument/2006/relationships/image" Target="media/image6.png"/><Relationship Id="rId8" Type="http://schemas.openxmlformats.org/officeDocument/2006/relationships/hyperlink" Target="https://ggplot2-book.org/statistical-summarie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XX: Gemo Review (Decide where to put in 2023)</dc:title>
  <dc:creator>Doug Joubert</dc:creator>
  <cp:keywords/>
  <cp:lastModifiedBy>Doug Joubert</cp:lastModifiedBy>
  <cp:revision>2</cp:revision>
  <dcterms:created xsi:type="dcterms:W3CDTF">2022-03-07T19:05:00Z</dcterms:created>
  <dcterms:modified xsi:type="dcterms:W3CDTF">2022-03-07T19:05:00Z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2022-03-02</vt:lpwstr>
  </property>
  <property fmtid="{D5CDD505-2E9C-101B-9397-08002B2CF9AE}" pid="3" name="output">
    <vt:lpwstr/>
  </property>
</Properties>
</file>