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Times New Roman" w:hAnsi="Times New Roman" w:eastAsia="微软雅黑"/>
          <w:b/>
          <w:color w:val="2B2620"/>
          <w:sz w:val="56"/>
        </w:rPr>
        <w:t>LUMEN 流明 · 3D 虚拟展览馆</w:t>
      </w:r>
    </w:p>
    <w:p>
      <w:pPr>
        <w:spacing w:after="120"/>
        <w:jc w:val="center"/>
      </w:pPr>
      <w:r>
        <w:rPr>
          <w:rFonts w:ascii="Times New Roman" w:hAnsi="Times New Roman" w:eastAsia="微软雅黑"/>
          <w:b/>
          <w:color w:val="A67C3D"/>
          <w:sz w:val="36"/>
        </w:rPr>
        <w:t>参赛作品项目文档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2"/>
              </w:rPr>
              <w:t>项目名称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22"/>
              </w:rPr>
              <w:t>LUMEN 流明 · 3D 虚拟展览馆 —— 基于 AIGC 的沉浸式虚拟美术馆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2"/>
              </w:rPr>
              <w:t>版本号码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22"/>
              </w:rPr>
              <w:t>V1.0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2"/>
              </w:rPr>
              <w:t>日　　期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22"/>
              </w:rPr>
              <w:t>2026.08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2"/>
              </w:rPr>
              <w:t>团队名称</w:t>
            </w:r>
          </w:p>
        </w:tc>
        <w:tc>
          <w:tcPr>
            <w:tcW w:type="dxa" w:w="662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22"/>
              </w:rPr>
              <w:t>[请填写团队名称]</w:t>
            </w:r>
          </w:p>
        </w:tc>
      </w:tr>
    </w:tbl>
    <w:p>
      <w:pPr>
        <w:spacing w:after="240"/>
      </w:pPr>
    </w:p>
    <w:p>
      <w:pPr>
        <w:spacing w:after="120"/>
        <w:jc w:val="center"/>
      </w:pPr>
      <w:r>
        <w:rPr>
          <w:rFonts w:ascii="Times New Roman" w:hAnsi="Times New Roman" w:eastAsia="微软雅黑"/>
          <w:b w:val="0"/>
          <w:color w:val="2B2620"/>
          <w:sz w:val="22"/>
        </w:rPr>
        <w:t>参赛赛道：2026 年第五届吉林省研究生虚拟现实大赛</w:t>
      </w:r>
    </w:p>
    <w:p>
      <w:pPr>
        <w:spacing w:after="120"/>
        <w:jc w:val="center"/>
      </w:pPr>
      <w:r>
        <w:rPr>
          <w:rFonts w:ascii="Times New Roman" w:hAnsi="Times New Roman" w:eastAsia="微软雅黑"/>
          <w:b w:val="0"/>
          <w:color w:val="2B2620"/>
          <w:sz w:val="22"/>
        </w:rPr>
        <w:t>作品类别：文化创意（文化 + 科技融合）· 智能互动（VR + 教育 / VR + AI）</w:t>
      </w:r>
    </w:p>
    <w:p>
      <w:pPr>
        <w:spacing w:after="0"/>
      </w:pPr>
      <w:r>
        <w:br w:type="page"/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32"/>
        </w:rPr>
        <w:t>记录更改历史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3"/>
        <w:gridCol w:w="1553"/>
        <w:gridCol w:w="1553"/>
        <w:gridCol w:w="1553"/>
        <w:gridCol w:w="1553"/>
        <w:gridCol w:w="1553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序号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更改原因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版本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作者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更改日期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初稿建立</w:t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V1.0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[请填写作者]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2026.08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覆盖项目概况、规划、方案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</w:r>
          </w:p>
        </w:tc>
        <w:tc>
          <w:tcPr>
            <w:tcW w:type="dxa" w:w="115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32"/>
        </w:rPr>
        <w:t>目录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>1 项目概况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 xml:space="preserve">  1.1 背景和基础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 xml:space="preserve">  1.2 场景和价值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 xml:space="preserve">  1.3 所需支持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>2 项目规划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 xml:space="preserve">  2.1 整体目标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 xml:space="preserve">  2.2 技术创新点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>3 实施方案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 xml:space="preserve">  3.1 技术可行性分析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 xml:space="preserve">  3.2 技术细节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 xml:space="preserve">  3.3 计划和分工</w:t>
      </w:r>
    </w:p>
    <w:p>
      <w:pPr>
        <w:spacing w:after="40"/>
      </w:pPr>
      <w:r>
        <w:rPr>
          <w:rFonts w:ascii="Times New Roman" w:hAnsi="Times New Roman" w:eastAsia="微软雅黑"/>
          <w:b w:val="0"/>
          <w:color w:val="2B2620"/>
          <w:sz w:val="21"/>
        </w:rPr>
        <w:t>4 参考资料</w:t>
      </w:r>
    </w:p>
    <w:p>
      <w:pPr>
        <w:spacing w:after="0"/>
      </w:pPr>
      <w:r>
        <w:br w:type="page"/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32"/>
        </w:rPr>
        <w:t>1 项目概况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6"/>
        </w:rPr>
        <w:t>1.1 背景和基础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1.1.1 项目灵感</w:t>
      </w:r>
    </w:p>
    <w:p>
      <w:pPr>
        <w:spacing w:after="120" w:line="336" w:lineRule="auto"/>
      </w:pPr>
      <w:r>
        <w:rPr>
          <w:rFonts w:ascii="Times New Roman" w:hAnsi="Times New Roman" w:eastAsia="微软雅黑"/>
          <w:b w:val="0"/>
          <w:color w:val="2B2620"/>
          <w:sz w:val="21"/>
        </w:rPr>
        <w:t>传统美术馆的观展体验受限于物理空间的边界：珍贵原作分散在世界各地，观众往往只能隔着展柜、“只能远观不可驻足”，而图文展签能承载的信息量有限、讲解也依赖真人导览，难以做到“千人千面、随问随答”。与此同时，大量已进入公共领域（Public Domain / CC0）的艺术杰作以高清数字形式向全世界开放，却缺少一个让它们“再次被看见、被走近、被凝视”的空间载体。</w:t>
      </w:r>
    </w:p>
    <w:p>
      <w:pPr>
        <w:spacing w:after="120" w:line="336" w:lineRule="auto"/>
      </w:pPr>
      <w:r>
        <w:rPr>
          <w:rFonts w:ascii="Times New Roman" w:hAnsi="Times New Roman" w:eastAsia="微软雅黑"/>
          <w:b w:val="0"/>
          <w:color w:val="2B2620"/>
          <w:sz w:val="21"/>
        </w:rPr>
        <w:t>针对这一痛点，我们提出并实现 LUMEN 流明 · 3D 虚拟展览馆：一座运行在浏览器中的策展式虚拟美术馆。观众以第三人称/第一人称视角自由行走，靠近展品时射灯自动亮起、玻璃展柜自动开启，并可与每一件展品进行“打电话式”的 AI 语音对话——让画作、雕塑以自己的“第一人称”讲述身世、笔触与故事。项目将 VR/3D 实时渲染与 AIGC 多模态能力（LLM / TTS / ASR）融合，探索“科技 + 艺术 + 教育”的数字化表达。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galle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微软雅黑"/>
          <w:b w:val="0"/>
          <w:color w:val="6F6352"/>
          <w:sz w:val="18"/>
        </w:rPr>
        <w:t>图 1　LUMEN 虚拟美术馆展厅主视觉（概念渲染）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1.1.2 已有工作基础</w:t>
      </w:r>
    </w:p>
    <w:p>
      <w:pPr>
        <w:spacing w:after="120"/>
      </w:pPr>
      <w:r>
        <w:rPr>
          <w:rFonts w:ascii="Times New Roman" w:hAnsi="Times New Roman" w:eastAsia="微软雅黑"/>
          <w:b w:val="0"/>
          <w:color w:val="2B2620"/>
          <w:sz w:val="21"/>
        </w:rPr>
        <w:t>项目已形成一套可运行、可换展、可部署的完整原型系统，核心工作基础包括：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工程基础：Vite 7 + React 19 + TypeScript 5 + Three.js 0.185（React Three Fiber）+ Zustand + Tailwind CSS 3 的前端工程，以及基于 Node.js（纯 JS / ESM）的 AI 后端 api.mjs，前后端解耦、单端口部署。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3D 展陈能力：完成 4 大展区（序厅·中央大厅、西翼·绘画长廊、东翼·雕塑与器物厅、影像与文献厅）及 22 件展品（涵盖二维绘画、三维雕塑模型、影像、文献、超链接 5 类展陈形态，对应墙挂、展台、玻璃展柜、屏幕、展板 5 种陈列方式）的搭建；含多角色换装系统（4 位观众角色）、第三方/第一人称相机、胶囊体碰撞与区域判定、聚焦光环、射灯调度等完整游历机制。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数据驱动机制：展品、展区、出生点、文案全部来自 exhibits.json / characters.json，代码零硬编码内容，换展仅改配置；素材以公共领域/CC0 方式规范化管理（如米洛的维纳斯 3D 扫描自丹麦国家美术馆 Royal Cast Collection，编号 KAS434/1）。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AIGC 能力：后端已接入 coze-coding-dev-sdk，真实调用豆包大模型完成 5 项 AI 服务（展品口播 /narrate、展品对话 /chat、全馆导览 /guide、语音合成 /tts、语音识别 /asr），实现 LLM 流式对话（SSE 打字机）、多模态“看图讲解”、分段 TTS 准流式播报、ASR 语音输入。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性能与工程规范：落实灯光预算（同屏投影光源 ≤ 4、射灯就近激活）、移动端降级（pixelRatio ≤ 1.5、关闭射灯阴影、玻璃磨砂）、弹窗降帧（30fps）、首屏资源预加载、中英双语（统一字典 + 展品双语字段）。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6"/>
        </w:rPr>
        <w:t>1.2 场景和价值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1.2.1 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场景领域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具体应用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对应大赛方向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文旅文博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博物馆/美术馆线上数字展、展馆云游、馆藏科普讲解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文化创意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教育科普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艺术史/美育课堂、沉浸式导览教学、无障碍观展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VR + 教育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内容制作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策展式 3D 展厅、数字动漫/影视取景、AI 创意叙事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内容制作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智能互动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与展品语音对话、AI 总导览员、自然人机交互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VR + AI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数字孪生</w:t>
            </w:r>
          </w:p>
        </w:tc>
        <w:tc>
          <w:tcPr>
            <w:tcW w:type="dxa" w:w="51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线下场馆虚拟映射、导览路线规划、人流与动线分析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技术/可视化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1.2.2 潜在社会价值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文化普惠与无障碍：把分散在全球的经典馆藏“搬”进浏览器，任何人无需预约、无需到场即可“走近”原作；AI 语音讲解对图文阅读障碍、视障与低龄观众更友好。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公共领域资源的活化：将 Public Domain / CC0 的开放馆藏与 AIGC 结合，形成“开放内容 + 智能讲解”的可复制样板，降低公共文化机构数字化成本。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教育赋能：以“与作品对话”替代单向灌输，激发学习兴趣；可作为艺术史、美育、数字媒体等课程的实践平台。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策展工具价值：数据驱动的“换展改配置”机制，让策展人低门槛搭建个性化线上展厅。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1.2.3 对比性分析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对比维度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传统“全景展厅”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常见图文 H5 展览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本项目 LUMEN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交互自由度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固定机位/跳点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滚动/翻页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自由行走 + 两类相机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内容形态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图片 + 视频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图片 + 文字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2D + 3D 模型 + 影像 + 文献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讲解方式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预制音频/人工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图文展签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多模态看图讲解 + 随问随答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个性化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高（每件展品独立“人格”）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部署与换展成本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高（专项开发）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低（配置驱动）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6"/>
        </w:rPr>
        <w:t>1.3 所需支持</w:t>
      </w:r>
    </w:p>
    <w:p>
      <w:pPr>
        <w:spacing w:after="120"/>
      </w:pPr>
      <w:r>
        <w:rPr>
          <w:rFonts w:ascii="Times New Roman" w:hAnsi="Times New Roman" w:eastAsia="微软雅黑"/>
          <w:b w:val="0"/>
          <w:color w:val="2B2620"/>
          <w:sz w:val="21"/>
        </w:rPr>
        <w:t>项目实施与参赛打磨过程中，主要需要以下支持：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算力支持：AI 讲解/对话依赖大模型推理与语音合成，需要稳定的大模型 API 与语音服务配额（当前通过 coze-coding-dev-sdk 接入豆包大模型，已具备基础算力）；若本地部署离线推理，需 GPU 算力（如 NVIDIA 级显卡）支撑。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硬件支持：作品目标为浏览器端，无需观众穿戴 VR 头盔（Web 端免安装）；若参与现场互动展陈，建议提供 VR 一体机/头显（兼容 WebXR）用于更沉浸的决赛演示。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内容与版权支持：展品素材基于公共领域/CC0 授权；如需扩展当代艺术作品，需相关机构授权高清图像与 3D 数据。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相关培训：WebXR / WebGPU 性能优化、多模态大模型提示工程与 Agent 编排、语音交互（VAD/回声消除）等方面的技术培训，有助于进一步提升作品完成度。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32"/>
        </w:rPr>
        <w:t>2 项目规划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6"/>
        </w:rPr>
        <w:t>2.1 整体目标</w:t>
      </w:r>
    </w:p>
    <w:p>
      <w:pPr>
        <w:spacing w:after="120" w:line="336" w:lineRule="auto"/>
      </w:pPr>
      <w:r>
        <w:rPr>
          <w:rFonts w:ascii="Times New Roman" w:hAnsi="Times New Roman" w:eastAsia="微软雅黑"/>
          <w:b w:val="0"/>
          <w:color w:val="2B2620"/>
          <w:sz w:val="21"/>
        </w:rPr>
        <w:t>总体目标：打造一个“可自由行走、可与每件展品对话”的浏览器端 3D 虚拟美术馆，并在参赛期间形成可供现场演示、评审与公测的稳定原型，验证“VR + AIGC 策展式导览”在文旅与教育场景的可行性。</w:t>
      </w:r>
    </w:p>
    <w:p>
      <w:pPr>
        <w:spacing w:after="120"/>
      </w:pPr>
      <w:r>
        <w:rPr>
          <w:rFonts w:ascii="Times New Roman" w:hAnsi="Times New Roman" w:eastAsia="微软雅黑"/>
          <w:b w:val="0"/>
          <w:color w:val="2B2620"/>
          <w:sz w:val="21"/>
        </w:rPr>
        <w:t>参赛期间（2026.07–2026.11）分阶段目标：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原型可用（初赛阶段）：完成多展区、多形态展品的 3D 场景搭建，游历、聚焦、“打电话式”AI 对话、AI 总导览员等核心链路跑通，达到行业内可演示的完整度。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体验打磨（初赛→决赛）：优化灯光/氛围、相机与碰撞手感，完善多模态“看图讲解”、分段 TTS 首句秒出、中英双语切换等体验细节，通过真机与多设备（桌面/移动端）验证。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初步验证（决赛阶段）：面向评审与小范围公测用户收集反馈，量化首屏加载、渲染帧率、语音响应时延、讲解准确率等指标，形成可展示的成果演示（Demo / PPT / 演示程序）。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6"/>
        </w:rPr>
        <w:t>2.2 技术创新点</w:t>
      </w:r>
    </w:p>
    <w:p>
      <w:pPr>
        <w:spacing w:after="120"/>
      </w:pPr>
      <w:r>
        <w:rPr>
          <w:rFonts w:ascii="Times New Roman" w:hAnsi="Times New Roman" w:eastAsia="微软雅黑"/>
          <w:b w:val="0"/>
          <w:color w:val="2B2620"/>
          <w:sz w:val="21"/>
        </w:rPr>
        <w:t>通过调研现有线上展览与 AIGC 导览产品，本项目的主要创新点如下：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AIGC 赋能的“展品第一人称”语音讲解：不同于传统预录式导览，每件展品被注入独立“人格”system prompt，观众以通话（打电话）隐喻与画作/雕塑进行流式对话，支持“按住说话”与“免提 VAD”两种输入，实现随问随答、对话历史持久化。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多模态“看图讲解”：/api/ai/narrate 对图片展品读取本地原图并转为 base64 data URI，调用多模态大模型（doubao-seed-1-8-251228）真正“看画”——理解笔触、构图与色调后再生成第一人称讲解词；无图或读取失败自动降级为纯文本 prompt，链路健壮。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voice-tou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微软雅黑"/>
          <w:b w:val="0"/>
          <w:color w:val="6F6352"/>
          <w:sz w:val="18"/>
        </w:rPr>
        <w:t>图 2　AI 语音讲解：观众与展品“打电话式”对话（概念示意）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分段 TTS 的“准流式”播报：针对大模型 TTS 无原生流式接口的问题，前端将讲解/回复按句切分、并发合成多段音频，再按“队列顺序播放”，显著降低首句等待（从“整段合成”降到“首句秒出”），配合底部影视字幕形成听觉 + 视觉双通道体验。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AI 总导览员（全馆 Agent）：后端 /api/ai/guide 以展品清单为事实底座（fact grounding）做路线规划、展品推荐与答疑，SSE 流式打字机输出，避免大模型“一本正经地胡说”，实现从“单件讲解”到“全馆策展式导览”的跃升。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multimodal-guid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微软雅黑"/>
          <w:b w:val="0"/>
          <w:color w:val="6F6352"/>
          <w:sz w:val="18"/>
        </w:rPr>
        <w:t>图 3　多模态“看图讲解”与 AI 总导览员（概念示意）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数据驱动 + 性能预算的工程创新：展陈内容全 JSON 化（换展改配置不改代码）；将“灯光预算、像素比降级、射灯就近激活、弹窗降帧”等性能策略前置为系统常量，保障中低端设备流畅运行，移动端与桌面端自适应。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浏览器端免装 + 单人单端口部署：全程 Web 免安装，无需观众穿戴设备；前后端共用单端口（DEPLOY_RUN_PORT）部署，降低落地成本。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32"/>
        </w:rPr>
        <w:t>3 实施方案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6"/>
        </w:rPr>
        <w:t>3.1 技术可行性分析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3.1.1 数据采集与内容获取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展品图像/模型：采用公共领域 / CC0 授权的馆藏资源（如大都会艺术博物馆、丹麦国家美术馆 SMK 等开放数据），规避版权风险；3D 雕塑通过开放铸件扫描（GLB）引入，二维画作使用高清开放图像。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展陈知识：展品背景、年代、材质、收藏信息由团队按规范整理为结构化 JSON（含中英双语字段），并与公共领域来源逐一核对出处（credit 字段记录授权与馆藏机构）。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行业知识（导览话术）：通过 system prompt 注入展品“人格”与全馆展品清单，约束大模型的讲解口径与事实边界。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3.1.2 算力与硬件可行性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渲染端：Three.js（WebGL）在主流浏览器/移动设备上即可运行，无需专用硬件；通过像素比封顶、阴影降级、雾效、降帧等策略将负载控制在低端机可承受范围。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AI 端：LLM/TTS/ASR 通过云端大模型 API 调用，无需本地 GPU；后端仅做请求转发、base64 处理与 SSE 流式转发，算力需求低。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部署端：纯静态产物 + 轻量 Node 服务，单端口部署，适配沙箱/云主机/边缘环境。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3.1.3 技术风险与应对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风险点</w:t>
            </w:r>
          </w:p>
        </w:tc>
        <w:tc>
          <w:tcPr>
            <w:tcW w:type="dxa" w:w="5472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应对措施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大模型“幻觉”导致讲解失实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展品清单事实底座注入 + 数据驱动“人格”约束 + 关键字段直传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TTS 整段合成首响慢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前端分段并发合成 + 队列顺序播放，实现准流式首句秒出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移动端 WebGL 性能不足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pixelRatio ≤ 1.5、关闭射灯阴影、玻璃磨砂、雾效、降帧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语音输入环境噪声/回声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前端 WAV 编码 + 压缩，ASR 服务端识别；免提 VAD 手动开关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跨域/鉴权/密钥安全</w:t>
            </w:r>
          </w:p>
        </w:tc>
        <w:tc>
          <w:tcPr>
            <w:tcW w:type="dxa" w:w="547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AI 全部走后端调用，密钥环境变量注入，绝不暴露前端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6"/>
        </w:rPr>
        <w:t>3.2 技术细节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3.2.1 总体架构</w:t>
      </w:r>
    </w:p>
    <w:p>
      <w:pPr>
        <w:spacing w:after="120" w:line="336" w:lineRule="auto"/>
      </w:pPr>
      <w:r>
        <w:rPr>
          <w:rFonts w:ascii="Times New Roman" w:hAnsi="Times New Roman" w:eastAsia="微软雅黑"/>
          <w:b w:val="0"/>
          <w:color w:val="2B2620"/>
          <w:sz w:val="21"/>
        </w:rPr>
        <w:t>系统分为四层：① 前端展示与交互层（React + R3F 3D 场景 + UI/HUD）、② Node 后端服务层（5 个 AI 接口）、③ AI 能力层（豆包大模型 LLM/TTS/ASR）、④ 数据与资源层（JSON 配置 + 静态素材）。前端与后端通过 HTTP/JSON 与 SSE 流式通信，后端通过 coze-coding-dev-sdk 统一调度大模型能力。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38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微软雅黑"/>
          <w:b w:val="0"/>
          <w:color w:val="6F6352"/>
          <w:sz w:val="18"/>
        </w:rPr>
        <w:t>图 4　LUMEN 系统架构图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3.2.2 核心链路：AI 语音讲解</w:t>
      </w:r>
    </w:p>
    <w:p>
      <w:pPr>
        <w:spacing w:after="120"/>
        <w:ind w:left="432"/>
      </w:pPr>
      <w:r>
        <w:rPr>
          <w:rFonts w:ascii="Consolas" w:hAnsi="Consolas" w:eastAsia="微软雅黑"/>
          <w:b w:val="0"/>
          <w:color w:val="2B2620"/>
          <w:sz w:val="18"/>
        </w:rPr>
        <w:t>观众语音 ——(按住说话/免提VAD)——&gt; 前端录音并编码 WAV</w:t>
        <w:br/>
        <w:t xml:space="preserve">   └──&gt; POST /api/ai/asr （语音识别，base64/URL）</w:t>
        <w:br/>
        <w:t xml:space="preserve">          └──&gt; 识别文本</w:t>
        <w:br/>
        <w:t xml:space="preserve">                └──&gt; POST /api/ai/chat （LLM 流式对话，SSE）</w:t>
        <w:br/>
        <w:t xml:space="preserve">                       └──&gt; 前端 Reader 打字机式渲染</w:t>
        <w:br/>
        <w:t xml:space="preserve">                             └──&gt; 前端按句切分回复</w:t>
        <w:br/>
        <w:t xml:space="preserve">                                   └──&gt; 并发调用 /api/ai/tts 分段合成</w:t>
        <w:br/>
        <w:t xml:space="preserve">                                         └──&gt; 队列顺序播放 + 底部字幕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状态机：loading → ready → entering → explore ⇄ modal ⇄ call ⇄ lightbox ⇄ characters，各交互在 Zustand 中统一管理。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流式输出：对话与导览均为 SSE（Content-Type: text/event-stream），前端 fetch + body.getReader() 逐块读取、打字机渲染，符合“流式优先”体验。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通话折叠：对话过程中通话可折叠为悬浮胶囊 + 底部影视字幕，观众边走动边对话、边看展品，避免遮挡场景。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3.2.3 3D 场景与渲染优化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场景构成：墙/地/天花/标题墙/轨道等建筑模块，展品组件（WallFrame / Pedestal / Vitrine / Screen / Panel）按 mount 类型装配；程序化纹理生成纸面、黄铜等材质。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交互系统：PlayerController（行走/转向/疾跑）、胶囊体 vs AABB/圆柱碰撞检测、区域判定（zones）、聚焦与交互（interaction）、键盘/指针/触屏多输入。</w:t>
      </w:r>
    </w:p>
    <w:p>
      <w:pPr>
        <w:pStyle w:val="ListBullet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性能预算：同屏投影光源 ≤ 4、射灯按玩家距离就近激活；移动端 pixelRatio ≤ 1.5、关闭射灯阴影、玻璃磨砂；弹窗/灯箱打开时降帧 30fps；首屏 LCP 图片 fetchpriority=high、非首屏懒加载、CLS 预留 aspect-ratio。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3.2.4 预期技术指标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指标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目标值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首屏可交互时间（LCP）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桌面 &lt; 2.5s，移动端 &lt; 3.5s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运行时帧率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桌面 ≥ 55fps，移动端 ≥ 30fps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语音识别准确率（正常环境）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≥ 90%（中文普通话）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对话流式首字时延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桌面网络 &lt; 1.5s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分段 TTS 首句出音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≤ 1.5s（相较整段合成明显缩短）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讲解事实准确率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展品属性字段 100% 一致，延展内容可控无失实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6"/>
        </w:rPr>
        <w:t>3.3 计划和分工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3.3.1 整体计划（对齐赛程）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阶段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时间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主要工作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里程碑/产出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报名立项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2026.07（7.1–9.30）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组队、确定选题、搭建 3D 场景骨架与 AIGC 链路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报名表 + 可运行 Demo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初赛打磨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2026.10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完善展陈内容、AI 讲解/导览、性能优化、双语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初赛作品文件（Demo/PPT）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决赛冲刺</w:t>
            </w:r>
          </w:p>
        </w:tc>
        <w:tc>
          <w:tcPr>
            <w:tcW w:type="dxa" w:w="2016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2026.11</w:t>
            </w:r>
          </w:p>
        </w:tc>
        <w:tc>
          <w:tcPr>
            <w:tcW w:type="dxa" w:w="374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现场演示准备、答辩 PPT、真机适配、指标验证</w:t>
            </w:r>
          </w:p>
        </w:tc>
        <w:tc>
          <w:tcPr>
            <w:tcW w:type="dxa" w:w="2304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现场演示与答辩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23"/>
        </w:rPr>
        <w:t>3.3.2 团队分工（示例，最多 4 人，研究生比例 ≥ 50%）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角色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2B2620"/>
                <w:sz w:val="20"/>
              </w:rPr>
              <w:t>主要职责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队长（在读研究生）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总体架构设计、后端 AI 服务、系统集成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成员 1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3D 场景与渲染（Three.js / R3F）、展品建模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成员 2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交互系统与 UI/HUD、移动端适配与性能优化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成员 3</w:t>
            </w:r>
          </w:p>
        </w:tc>
        <w:tc>
          <w:tcPr>
            <w:tcW w:type="dxa" w:w="6048"/>
          </w:tcPr>
          <w:p>
            <w:r/>
            <w:r>
              <w:rPr>
                <w:rFonts w:ascii="Times New Roman" w:hAnsi="Times New Roman" w:eastAsia="微软雅黑"/>
                <w:b w:val="0"/>
                <w:color w:val="2B2620"/>
                <w:sz w:val="19"/>
              </w:rPr>
              <w:t>展陈内容整理、多模态提示工程、测试与文档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 w:eastAsia="微软雅黑"/>
          <w:b w:val="0"/>
          <w:color w:val="6F6352"/>
          <w:sz w:val="18"/>
        </w:rPr>
        <w:t>注：以上为建议分工，最终以团队实际成员与申报为准；指导教师最多 2 名，作品第一作者所在单位为参赛单位。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color w:val="2B2620"/>
          <w:sz w:val="32"/>
        </w:rPr>
        <w:t>4 参考资料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吉林省学位与研究生教育学会.《关于举办 2026 年第五届吉林省研究生虚拟现实大赛的通知》. 2026.07.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舞台/馆藏开放数据：大都会艺术博物馆公开藏品（The Metropolitan Museum of Art Open Access，CC0 / Public Domain）。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3D 模型来源：丹麦国家美术馆 SMK Royal Cast Collection（CC0 / Public Domain，如米洛的维纳斯铸件 KAS434/1）。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Three.js 官方文档. https://threejs.org/ ；React Three Fiber 文档. https://docs.pmnd.rs/react-three-fiber/ 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React 官方文档. https://react.dev/ ；Vite 官方文档. https://vitejs.dev/ 。</w:t>
      </w:r>
    </w:p>
    <w:p>
      <w:pPr>
        <w:pStyle w:val="ListNumber"/>
        <w:spacing w:after="60"/>
      </w:pPr>
      <w:r>
        <w:rPr>
          <w:rFonts w:ascii="Times New Roman" w:hAnsi="Times New Roman" w:eastAsia="微软雅黑"/>
          <w:b w:val="0"/>
          <w:color w:val="2B2620"/>
          <w:sz w:val="21"/>
        </w:rPr>
        <w:t>coze-coding-dev-sdk（大模型 / TTS / ASR / 多模态能力接入）使用规范。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