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9A227"/>
          <w:sz w:val="24"/>
        </w:rPr>
        <w:t>SYNERGIA · IMMO · TRANS · GUINÉE</w:t>
      </w:r>
    </w:p>
    <w:p>
      <w:pPr>
        <w:jc w:val="center"/>
      </w:pPr>
      <w:r>
        <w:rPr>
          <w:b/>
          <w:color w:val="1B5E3B"/>
          <w:sz w:val="48"/>
        </w:rPr>
        <w:t>Budget mensuel de démarrage</w:t>
      </w:r>
    </w:p>
    <w:p>
      <w:pPr>
        <w:jc w:val="center"/>
      </w:pPr>
      <w:r>
        <w:rPr>
          <w:sz w:val="28"/>
        </w:rPr>
        <w:t>Hébergement OVHcloud — VPS et stockage objet</w:t>
      </w:r>
    </w:p>
    <w:p>
      <w:pPr>
        <w:jc w:val="center"/>
      </w:pPr>
      <w:r>
        <w:rPr>
          <w:b/>
          <w:sz w:val="22"/>
        </w:rPr>
        <w:t>Scénario retenu : environnements de test et de production sur un même serveur</w:t>
      </w:r>
    </w:p>
    <w:p>
      <w:pPr>
        <w:jc w:val="center"/>
      </w:pPr>
      <w:r>
        <w:rPr>
          <w:b/>
          <w:color w:val="1B5E3B"/>
          <w:sz w:val="28"/>
        </w:rPr>
        <w:t>Enveloppe annuelle retenue : 490,00 € HT</w:t>
      </w:r>
    </w:p>
    <w:p>
      <w:pPr>
        <w:jc w:val="center"/>
      </w:pPr>
      <w:r>
        <w:rPr>
          <w:i/>
          <w:sz w:val="20"/>
        </w:rPr>
        <w:t>Montants hors taxes sauf mention contraire · tarifs relevés en octobre 2026 · version du 11 octobre 2026</w:t>
      </w:r>
    </w:p>
    <w:p>
      <w:pPr>
        <w:pStyle w:val="Heading1"/>
      </w:pPr>
      <w:r>
        <w:rPr>
          <w:color w:val="1B5E3B"/>
        </w:rPr>
        <w:t>1. Objet</w:t>
      </w:r>
    </w:p>
    <w:p>
      <w:r>
        <w:rPr>
          <w:b w:val="0"/>
          <w:i w:val="0"/>
        </w:rPr>
        <w:t>Ce document chiffre l'hébergement de la plateforme SYNERGIA sur un serveur privé virtuel OVHcloud pour la phase de démarrage, avec le stockage des photos d'annonces sur OVHcloud Object Storage (compatible S3) plutôt que sur le disque du serveur. Le scénario retenu héberge les environnements de test et de production sur le même serveur, avec un engagement de douze mois. Le coût calculé est ensuite majoré pour fixer une enveloppe annuelle de 490,00 € hors taxes. Pour une facturation en France, ajouter 20 % de TVA.</w:t>
      </w:r>
    </w:p>
    <w:p>
      <w:pPr>
        <w:pStyle w:val="Heading1"/>
      </w:pPr>
      <w:r>
        <w:rPr>
          <w:color w:val="1B5E3B"/>
        </w:rPr>
        <w:t>2. Ce que la plateforme consomme</w:t>
      </w:r>
    </w:p>
    <w:p>
      <w:r>
        <w:rPr>
          <w:b w:val="0"/>
          <w:i w:val="0"/>
        </w:rPr>
        <w:t>La pile complète se compose de PostgreSQL, Kafka et Zookeeper, de sept services Java (découverte, passerelle, authentification, utilisateurs, billetterie, notification, immobilier), du serveur web et du stockage. Les limites mémoire déclarées dans le fichier docker-compose.yml de la plateforme donnent la réservation suivante :</w:t>
      </w:r>
    </w:p>
    <w:tbl>
      <w:tblPr>
        <w:tblStyle w:val="TableGrid"/>
        <w:tblW w:type="auto" w:w="0"/>
        <w:jc w:val="center"/>
        <w:tblLook w:firstColumn="1" w:firstRow="1" w:lastColumn="0" w:lastRow="0" w:noHBand="0" w:noVBand="1" w:val="04A0"/>
      </w:tblPr>
      <w:tblGrid>
        <w:gridCol w:w="4986"/>
        <w:gridCol w:w="4986"/>
      </w:tblGrid>
      <w:tr>
        <w:tc>
          <w:tcPr>
            <w:tcW w:type="dxa" w:w="6236"/>
            <w:shd w:val="clear" w:color="auto" w:fill="1B5E3B"/>
          </w:tcPr>
          <w:p>
            <w:r/>
            <w:r>
              <w:rPr>
                <w:b/>
                <w:color w:val="FFFFFF"/>
              </w:rPr>
              <w:t>Composant</w:t>
            </w:r>
          </w:p>
        </w:tc>
        <w:tc>
          <w:tcPr>
            <w:tcW w:type="dxa" w:w="2835"/>
            <w:shd w:val="clear" w:color="auto" w:fill="1B5E3B"/>
          </w:tcPr>
          <w:p>
            <w:r/>
            <w:r>
              <w:rPr>
                <w:b/>
                <w:color w:val="FFFFFF"/>
              </w:rPr>
              <w:t>Mémoire réservée</w:t>
            </w:r>
          </w:p>
        </w:tc>
      </w:tr>
      <w:tr>
        <w:tc>
          <w:tcPr>
            <w:tcW w:type="dxa" w:w="6236"/>
          </w:tcPr>
          <w:p>
            <w:r/>
            <w:r>
              <w:t>PostgreSQL (PostGIS)</w:t>
            </w:r>
          </w:p>
        </w:tc>
        <w:tc>
          <w:tcPr>
            <w:tcW w:type="dxa" w:w="2835"/>
          </w:tcPr>
          <w:p>
            <w:r/>
            <w:r>
              <w:t>1 024 Mo</w:t>
            </w:r>
          </w:p>
        </w:tc>
      </w:tr>
      <w:tr>
        <w:tc>
          <w:tcPr>
            <w:tcW w:type="dxa" w:w="6236"/>
          </w:tcPr>
          <w:p>
            <w:r/>
            <w:r>
              <w:t>Kafka + Zookeeper</w:t>
            </w:r>
          </w:p>
        </w:tc>
        <w:tc>
          <w:tcPr>
            <w:tcW w:type="dxa" w:w="2835"/>
          </w:tcPr>
          <w:p>
            <w:r/>
            <w:r>
              <w:t>1 056 Mo</w:t>
            </w:r>
          </w:p>
        </w:tc>
      </w:tr>
      <w:tr>
        <w:tc>
          <w:tcPr>
            <w:tcW w:type="dxa" w:w="6236"/>
          </w:tcPr>
          <w:p>
            <w:r/>
            <w:r>
              <w:t>Sept services Java</w:t>
            </w:r>
          </w:p>
        </w:tc>
        <w:tc>
          <w:tcPr>
            <w:tcW w:type="dxa" w:w="2835"/>
          </w:tcPr>
          <w:p>
            <w:r/>
            <w:r>
              <w:t>4 736 Mo</w:t>
            </w:r>
          </w:p>
        </w:tc>
      </w:tr>
      <w:tr>
        <w:tc>
          <w:tcPr>
            <w:tcW w:type="dxa" w:w="6236"/>
          </w:tcPr>
          <w:p>
            <w:r/>
            <w:r>
              <w:t>MinIO (stockage local, supprimé après bascule)</w:t>
            </w:r>
          </w:p>
        </w:tc>
        <w:tc>
          <w:tcPr>
            <w:tcW w:type="dxa" w:w="2835"/>
          </w:tcPr>
          <w:p>
            <w:r/>
            <w:r>
              <w:t>400 Mo</w:t>
            </w:r>
          </w:p>
        </w:tc>
      </w:tr>
      <w:tr>
        <w:tc>
          <w:tcPr>
            <w:tcW w:type="dxa" w:w="6236"/>
          </w:tcPr>
          <w:p>
            <w:r/>
            <w:r>
              <w:t>pgAdmin, Flyway, frontends</w:t>
            </w:r>
          </w:p>
        </w:tc>
        <w:tc>
          <w:tcPr>
            <w:tcW w:type="dxa" w:w="2835"/>
          </w:tcPr>
          <w:p>
            <w:r/>
            <w:r>
              <w:t>912 Mo</w:t>
            </w:r>
          </w:p>
        </w:tc>
      </w:tr>
      <w:tr>
        <w:tc>
          <w:tcPr>
            <w:tcW w:type="dxa" w:w="6236"/>
            <w:shd w:val="clear" w:color="auto" w:fill="E4F1E8"/>
          </w:tcPr>
          <w:p>
            <w:r/>
            <w:r>
              <w:rPr>
                <w:b/>
              </w:rPr>
              <w:t>Total par pile</w:t>
            </w:r>
          </w:p>
        </w:tc>
        <w:tc>
          <w:tcPr>
            <w:tcW w:type="dxa" w:w="2835"/>
            <w:shd w:val="clear" w:color="auto" w:fill="E4F1E8"/>
          </w:tcPr>
          <w:p>
            <w:r/>
            <w:r>
              <w:rPr>
                <w:b/>
              </w:rPr>
              <w:t>≈ 8,1 Go</w:t>
            </w:r>
          </w:p>
        </w:tc>
      </w:tr>
      <w:tr>
        <w:tc>
          <w:tcPr>
            <w:tcW w:type="dxa" w:w="6236"/>
            <w:shd w:val="clear" w:color="auto" w:fill="E4F1E8"/>
          </w:tcPr>
          <w:p>
            <w:r/>
            <w:r>
              <w:rPr>
                <w:b/>
              </w:rPr>
              <w:t>Deux piles (test + production)</w:t>
            </w:r>
          </w:p>
        </w:tc>
        <w:tc>
          <w:tcPr>
            <w:tcW w:type="dxa" w:w="2835"/>
            <w:shd w:val="clear" w:color="auto" w:fill="E4F1E8"/>
          </w:tcPr>
          <w:p>
            <w:r/>
            <w:r>
              <w:rPr>
                <w:b/>
              </w:rPr>
              <w:t>≈ 16,2 Go</w:t>
            </w:r>
          </w:p>
        </w:tc>
      </w:tr>
    </w:tbl>
    <w:p/>
    <w:p>
      <w:r>
        <w:rPr>
          <w:b w:val="0"/>
          <w:i/>
        </w:rPr>
        <w:t>Une pile = un environnement. Héberger test et production sur le même serveur double le besoin, d'où le choix du VPS-3.</w:t>
      </w:r>
    </w:p>
    <w:p>
      <w:pPr>
        <w:pStyle w:val="Heading1"/>
      </w:pPr>
      <w:r>
        <w:rPr>
          <w:color w:val="1B5E3B"/>
        </w:rPr>
        <w:t>3. Offres VPS OVHcloud 2026</w:t>
      </w:r>
    </w:p>
    <w:p>
      <w:r>
        <w:rPr>
          <w:b w:val="0"/>
          <w:i w:val="0"/>
        </w:rPr>
        <w:t>Trois offres, toutes sur processeurs AMD EPYC, avec IPv4 et IPv6 dédiées, protection anti-DDoS, trafic illimité en Europe, mode secours et console VNC. Prix hors taxes par mois avec engagement de douze mois, relevés après la hausse du 1er avril 2026. Sans engagement, compter environ 40 % de plus.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907"/>
            <w:shd w:val="clear" w:color="auto" w:fill="1B5E3B"/>
          </w:tcPr>
          <w:p>
            <w:r/>
            <w:r>
              <w:rPr>
                <w:b/>
                <w:color w:val="FFFFFF"/>
              </w:rPr>
              <w:t>Offre</w:t>
            </w:r>
          </w:p>
        </w:tc>
        <w:tc>
          <w:tcPr>
            <w:tcW w:type="dxa" w:w="680"/>
            <w:shd w:val="clear" w:color="auto" w:fill="1B5E3B"/>
          </w:tcPr>
          <w:p>
            <w:r/>
            <w:r>
              <w:rPr>
                <w:b/>
                <w:color w:val="FFFFFF"/>
              </w:rPr>
              <w:t>vCPU</w:t>
            </w:r>
          </w:p>
        </w:tc>
        <w:tc>
          <w:tcPr>
            <w:tcW w:type="dxa" w:w="794"/>
            <w:shd w:val="clear" w:color="auto" w:fill="1B5E3B"/>
          </w:tcPr>
          <w:p>
            <w:r/>
            <w:r>
              <w:rPr>
                <w:b/>
                <w:color w:val="FFFFFF"/>
              </w:rPr>
              <w:t>RAM</w:t>
            </w:r>
          </w:p>
        </w:tc>
        <w:tc>
          <w:tcPr>
            <w:tcW w:type="dxa" w:w="1361"/>
            <w:shd w:val="clear" w:color="auto" w:fill="1B5E3B"/>
          </w:tcPr>
          <w:p>
            <w:r/>
            <w:r>
              <w:rPr>
                <w:b/>
                <w:color w:val="FFFFFF"/>
              </w:rPr>
              <w:t>Disque</w:t>
            </w:r>
          </w:p>
        </w:tc>
        <w:tc>
          <w:tcPr>
            <w:tcW w:type="dxa" w:w="1134"/>
            <w:shd w:val="clear" w:color="auto" w:fill="1B5E3B"/>
          </w:tcPr>
          <w:p>
            <w:r/>
            <w:r>
              <w:rPr>
                <w:b/>
                <w:color w:val="FFFFFF"/>
              </w:rPr>
              <w:t>Réseau</w:t>
            </w:r>
          </w:p>
        </w:tc>
        <w:tc>
          <w:tcPr>
            <w:tcW w:type="dxa" w:w="1474"/>
            <w:shd w:val="clear" w:color="auto" w:fill="1B5E3B"/>
          </w:tcPr>
          <w:p>
            <w:r/>
            <w:r>
              <w:rPr>
                <w:b/>
                <w:color w:val="FFFFFF"/>
              </w:rPr>
              <w:t>Prix HT / mois</w:t>
            </w:r>
          </w:p>
        </w:tc>
        <w:tc>
          <w:tcPr>
            <w:tcW w:type="dxa" w:w="3288"/>
            <w:shd w:val="clear" w:color="auto" w:fill="1B5E3B"/>
          </w:tcPr>
          <w:p>
            <w:r/>
            <w:r>
              <w:rPr>
                <w:b/>
                <w:color w:val="FFFFFF"/>
              </w:rPr>
              <w:t>Décision</w:t>
            </w:r>
          </w:p>
        </w:tc>
      </w:tr>
      <w:tr>
        <w:tc>
          <w:tcPr>
            <w:tcW w:type="dxa" w:w="907"/>
          </w:tcPr>
          <w:p>
            <w:r/>
            <w:r>
              <w:t>VPS-1</w:t>
            </w:r>
          </w:p>
        </w:tc>
        <w:tc>
          <w:tcPr>
            <w:tcW w:type="dxa" w:w="680"/>
          </w:tcPr>
          <w:p>
            <w:r/>
            <w:r>
              <w:t>4</w:t>
            </w:r>
          </w:p>
        </w:tc>
        <w:tc>
          <w:tcPr>
            <w:tcW w:type="dxa" w:w="794"/>
          </w:tcPr>
          <w:p>
            <w:r/>
            <w:r>
              <w:t>8 Go</w:t>
            </w:r>
          </w:p>
        </w:tc>
        <w:tc>
          <w:tcPr>
            <w:tcW w:type="dxa" w:w="1361"/>
          </w:tcPr>
          <w:p>
            <w:r/>
            <w:r>
              <w:t>75 Go SSD</w:t>
            </w:r>
          </w:p>
        </w:tc>
        <w:tc>
          <w:tcPr>
            <w:tcW w:type="dxa" w:w="1134"/>
          </w:tcPr>
          <w:p>
            <w:r/>
            <w:r>
              <w:t>400 Mbit/s</w:t>
            </w:r>
          </w:p>
        </w:tc>
        <w:tc>
          <w:tcPr>
            <w:tcW w:type="dxa" w:w="1474"/>
          </w:tcPr>
          <w:p>
            <w:pPr>
              <w:jc w:val="right"/>
            </w:pPr>
            <w:r/>
            <w:r>
              <w:t>5,52 €</w:t>
            </w:r>
          </w:p>
        </w:tc>
        <w:tc>
          <w:tcPr>
            <w:tcW w:type="dxa" w:w="3288"/>
          </w:tcPr>
          <w:p>
            <w:r/>
            <w:r>
              <w:t>Écarté : insuffisant pour une pile</w:t>
            </w:r>
          </w:p>
        </w:tc>
      </w:tr>
      <w:tr>
        <w:tc>
          <w:tcPr>
            <w:tcW w:type="dxa" w:w="907"/>
          </w:tcPr>
          <w:p>
            <w:r/>
            <w:r>
              <w:t>VPS-2</w:t>
            </w:r>
          </w:p>
        </w:tc>
        <w:tc>
          <w:tcPr>
            <w:tcW w:type="dxa" w:w="680"/>
          </w:tcPr>
          <w:p>
            <w:r/>
            <w:r>
              <w:t>6</w:t>
            </w:r>
          </w:p>
        </w:tc>
        <w:tc>
          <w:tcPr>
            <w:tcW w:type="dxa" w:w="794"/>
          </w:tcPr>
          <w:p>
            <w:r/>
            <w:r>
              <w:t>12 Go</w:t>
            </w:r>
          </w:p>
        </w:tc>
        <w:tc>
          <w:tcPr>
            <w:tcW w:type="dxa" w:w="1361"/>
          </w:tcPr>
          <w:p>
            <w:r/>
            <w:r>
              <w:t>100 Go NVMe</w:t>
            </w:r>
          </w:p>
        </w:tc>
        <w:tc>
          <w:tcPr>
            <w:tcW w:type="dxa" w:w="1134"/>
          </w:tcPr>
          <w:p>
            <w:r/>
            <w:r>
              <w:t>1 Gbit/s</w:t>
            </w:r>
          </w:p>
        </w:tc>
        <w:tc>
          <w:tcPr>
            <w:tcW w:type="dxa" w:w="1474"/>
          </w:tcPr>
          <w:p>
            <w:pPr>
              <w:jc w:val="right"/>
            </w:pPr>
            <w:r/>
            <w:r>
              <w:t>8,49 €</w:t>
            </w:r>
          </w:p>
        </w:tc>
        <w:tc>
          <w:tcPr>
            <w:tcW w:type="dxa" w:w="3288"/>
          </w:tcPr>
          <w:p>
            <w:r/>
            <w:r>
              <w:t>Écarté : saturé avec deux piles</w:t>
            </w:r>
          </w:p>
        </w:tc>
      </w:tr>
      <w:tr>
        <w:tc>
          <w:tcPr>
            <w:tcW w:type="dxa" w:w="907"/>
            <w:shd w:val="clear" w:color="auto" w:fill="E4F1E8"/>
          </w:tcPr>
          <w:p>
            <w:r/>
            <w:r>
              <w:rPr>
                <w:b/>
              </w:rPr>
              <w:t>VPS-3</w:t>
            </w:r>
          </w:p>
        </w:tc>
        <w:tc>
          <w:tcPr>
            <w:tcW w:type="dxa" w:w="680"/>
            <w:shd w:val="clear" w:color="auto" w:fill="E4F1E8"/>
          </w:tcPr>
          <w:p>
            <w:r/>
            <w:r>
              <w:rPr>
                <w:b/>
              </w:rPr>
              <w:t>8</w:t>
            </w:r>
          </w:p>
        </w:tc>
        <w:tc>
          <w:tcPr>
            <w:tcW w:type="dxa" w:w="794"/>
            <w:shd w:val="clear" w:color="auto" w:fill="E4F1E8"/>
          </w:tcPr>
          <w:p>
            <w:r/>
            <w:r>
              <w:rPr>
                <w:b/>
              </w:rPr>
              <w:t>24 Go</w:t>
            </w:r>
          </w:p>
        </w:tc>
        <w:tc>
          <w:tcPr>
            <w:tcW w:type="dxa" w:w="1361"/>
            <w:shd w:val="clear" w:color="auto" w:fill="E4F1E8"/>
          </w:tcPr>
          <w:p>
            <w:r/>
            <w:r>
              <w:rPr>
                <w:b/>
              </w:rPr>
              <w:t>200 Go NVMe</w:t>
            </w:r>
          </w:p>
        </w:tc>
        <w:tc>
          <w:tcPr>
            <w:tcW w:type="dxa" w:w="1134"/>
            <w:shd w:val="clear" w:color="auto" w:fill="E4F1E8"/>
          </w:tcPr>
          <w:p>
            <w:r/>
            <w:r>
              <w:rPr>
                <w:b/>
              </w:rPr>
              <w:t>1 Gbit/s</w:t>
            </w:r>
          </w:p>
        </w:tc>
        <w:tc>
          <w:tcPr>
            <w:tcW w:type="dxa" w:w="1474"/>
            <w:shd w:val="clear" w:color="auto" w:fill="E4F1E8"/>
          </w:tcPr>
          <w:p>
            <w:pPr>
              <w:jc w:val="right"/>
            </w:pPr>
            <w:r/>
            <w:r>
              <w:rPr>
                <w:b/>
              </w:rPr>
              <w:t>16,99 €</w:t>
            </w:r>
          </w:p>
        </w:tc>
        <w:tc>
          <w:tcPr>
            <w:tcW w:type="dxa" w:w="3288"/>
            <w:shd w:val="clear" w:color="auto" w:fill="E4F1E8"/>
          </w:tcPr>
          <w:p>
            <w:r/>
            <w:r>
              <w:rPr>
                <w:b/>
              </w:rPr>
              <w:t>Retenu</w:t>
            </w:r>
          </w:p>
        </w:tc>
      </w:tr>
    </w:tbl>
    <w:p/>
    <w:tbl>
      <w:tblPr>
        <w:tblStyle w:val="TableGrid"/>
        <w:tblW w:type="auto" w:w="0"/>
        <w:jc w:val="center"/>
        <w:tblLook w:firstColumn="1" w:firstRow="1" w:lastColumn="0" w:lastRow="0" w:noHBand="0" w:noVBand="1" w:val="04A0"/>
      </w:tblPr>
      <w:tblGrid>
        <w:gridCol w:w="4986"/>
        <w:gridCol w:w="4986"/>
      </w:tblGrid>
      <w:tr>
        <w:tc>
          <w:tcPr>
            <w:tcW w:type="dxa" w:w="6236"/>
            <w:shd w:val="clear" w:color="auto" w:fill="1B5E3B"/>
          </w:tcPr>
          <w:p>
            <w:r/>
            <w:r>
              <w:rPr>
                <w:b/>
                <w:color w:val="FFFFFF"/>
              </w:rPr>
              <w:t>Option</w:t>
            </w:r>
          </w:p>
        </w:tc>
        <w:tc>
          <w:tcPr>
            <w:tcW w:type="dxa" w:w="2835"/>
            <w:shd w:val="clear" w:color="auto" w:fill="1B5E3B"/>
          </w:tcPr>
          <w:p>
            <w:r/>
            <w:r>
              <w:rPr>
                <w:b/>
                <w:color w:val="FFFFFF"/>
              </w:rPr>
              <w:t>Prix HT / mois</w:t>
            </w:r>
          </w:p>
        </w:tc>
      </w:tr>
      <w:tr>
        <w:tc>
          <w:tcPr>
            <w:tcW w:type="dxa" w:w="6236"/>
          </w:tcPr>
          <w:p>
            <w:r/>
            <w:r>
              <w:t>Sauvegarde automatique</w:t>
            </w:r>
          </w:p>
        </w:tc>
        <w:tc>
          <w:tcPr>
            <w:tcW w:type="dxa" w:w="2835"/>
          </w:tcPr>
          <w:p>
            <w:pPr>
              <w:jc w:val="right"/>
            </w:pPr>
            <w:r/>
            <w:r>
              <w:t>3,30 €</w:t>
            </w:r>
          </w:p>
        </w:tc>
      </w:tr>
      <w:tr>
        <w:tc>
          <w:tcPr>
            <w:tcW w:type="dxa" w:w="6236"/>
          </w:tcPr>
          <w:p>
            <w:r/>
            <w:r>
              <w:t>Instantané (snapshot)</w:t>
            </w:r>
          </w:p>
        </w:tc>
        <w:tc>
          <w:tcPr>
            <w:tcW w:type="dxa" w:w="2835"/>
          </w:tcPr>
          <w:p>
            <w:pPr>
              <w:jc w:val="right"/>
            </w:pPr>
            <w:r/>
            <w:r>
              <w:t>à partir de 0,50 €</w:t>
            </w:r>
          </w:p>
        </w:tc>
      </w:tr>
      <w:tr>
        <w:tc>
          <w:tcPr>
            <w:tcW w:type="dxa" w:w="6236"/>
          </w:tcPr>
          <w:p>
            <w:r/>
            <w:r>
              <w:t>Adresse IPv4 supplémentaire</w:t>
            </w:r>
          </w:p>
        </w:tc>
        <w:tc>
          <w:tcPr>
            <w:tcW w:type="dxa" w:w="2835"/>
          </w:tcPr>
          <w:p>
            <w:pPr>
              <w:jc w:val="right"/>
            </w:pPr>
            <w:r/>
            <w:r>
              <w:t>2,87 €</w:t>
            </w:r>
          </w:p>
        </w:tc>
      </w:tr>
    </w:tbl>
    <w:p/>
    <w:p>
      <w:pPr>
        <w:pStyle w:val="Heading1"/>
      </w:pPr>
      <w:r>
        <w:rPr>
          <w:color w:val="1B5E3B"/>
        </w:rPr>
        <w:t>4. Stockage des photos : OVHcloud Object Storage</w:t>
      </w:r>
    </w:p>
    <w:p>
      <w:r>
        <w:rPr>
          <w:b w:val="0"/>
          <w:i w:val="0"/>
        </w:rPr>
        <w:t>Le service immobilier utilise le SDK S3 d'Amazon avec un point d'accès configurable : il vise l'Object Storage OVH sans modification du code métier. Classe Standard, facturée à l'heure au gigaoctet utilisé, sans minimum.</w:t>
      </w:r>
    </w:p>
    <w:tbl>
      <w:tblPr>
        <w:tblStyle w:val="TableGrid"/>
        <w:tblW w:type="auto" w:w="0"/>
        <w:jc w:val="center"/>
        <w:tblLook w:firstColumn="1" w:firstRow="1" w:lastColumn="0" w:lastRow="0" w:noHBand="0" w:noVBand="1" w:val="04A0"/>
      </w:tblPr>
      <w:tblGrid>
        <w:gridCol w:w="4986"/>
        <w:gridCol w:w="4986"/>
      </w:tblGrid>
      <w:tr>
        <w:tc>
          <w:tcPr>
            <w:tcW w:type="dxa" w:w="5669"/>
            <w:shd w:val="clear" w:color="auto" w:fill="1B5E3B"/>
          </w:tcPr>
          <w:p>
            <w:r/>
            <w:r>
              <w:rPr>
                <w:b/>
                <w:color w:val="FFFFFF"/>
              </w:rPr>
              <w:t>Élément</w:t>
            </w:r>
          </w:p>
        </w:tc>
        <w:tc>
          <w:tcPr>
            <w:tcW w:type="dxa" w:w="3402"/>
            <w:shd w:val="clear" w:color="auto" w:fill="1B5E3B"/>
          </w:tcPr>
          <w:p>
            <w:r/>
            <w:r>
              <w:rPr>
                <w:b/>
                <w:color w:val="FFFFFF"/>
              </w:rPr>
              <w:t>Tarif</w:t>
            </w:r>
          </w:p>
        </w:tc>
      </w:tr>
      <w:tr>
        <w:tc>
          <w:tcPr>
            <w:tcW w:type="dxa" w:w="5669"/>
          </w:tcPr>
          <w:p>
            <w:r/>
            <w:r>
              <w:t>Stockage, une zone (gra, sbg, rbx…)</w:t>
            </w:r>
          </w:p>
        </w:tc>
        <w:tc>
          <w:tcPr>
            <w:tcW w:type="dxa" w:w="3402"/>
          </w:tcPr>
          <w:p>
            <w:pPr>
              <w:jc w:val="right"/>
            </w:pPr>
            <w:r/>
            <w:r>
              <w:t>0,007 € / Go / mois</w:t>
            </w:r>
          </w:p>
        </w:tc>
      </w:tr>
      <w:tr>
        <w:tc>
          <w:tcPr>
            <w:tcW w:type="dxa" w:w="5669"/>
          </w:tcPr>
          <w:p>
            <w:r/>
            <w:r>
              <w:t>Stockage, trois zones (eu-west-par)</w:t>
            </w:r>
          </w:p>
        </w:tc>
        <w:tc>
          <w:tcPr>
            <w:tcW w:type="dxa" w:w="3402"/>
          </w:tcPr>
          <w:p>
            <w:pPr>
              <w:jc w:val="right"/>
            </w:pPr>
            <w:r/>
            <w:r>
              <w:t>0,014 € / Go / mois</w:t>
            </w:r>
          </w:p>
        </w:tc>
      </w:tr>
      <w:tr>
        <w:tc>
          <w:tcPr>
            <w:tcW w:type="dxa" w:w="5669"/>
          </w:tcPr>
          <w:p>
            <w:r/>
            <w:r>
              <w:t>Trafic sortant</w:t>
            </w:r>
          </w:p>
        </w:tc>
        <w:tc>
          <w:tcPr>
            <w:tcW w:type="dxa" w:w="3402"/>
          </w:tcPr>
          <w:p>
            <w:r/>
            <w:r>
              <w:t>gratuit</w:t>
            </w:r>
          </w:p>
        </w:tc>
      </w:tr>
      <w:tr>
        <w:tc>
          <w:tcPr>
            <w:tcW w:type="dxa" w:w="5669"/>
          </w:tcPr>
          <w:p>
            <w:r/>
            <w:r>
              <w:t>Appels API</w:t>
            </w:r>
          </w:p>
        </w:tc>
        <w:tc>
          <w:tcPr>
            <w:tcW w:type="dxa" w:w="3402"/>
          </w:tcPr>
          <w:p>
            <w:r/>
            <w:r>
              <w:t>gratuits</w:t>
            </w:r>
          </w:p>
        </w:tc>
      </w:tr>
    </w:tbl>
    <w:p/>
    <w:tbl>
      <w:tblPr>
        <w:tblStyle w:val="TableGrid"/>
        <w:tblW w:type="auto" w:w="0"/>
        <w:jc w:val="center"/>
        <w:tblLook w:firstColumn="1" w:firstRow="1" w:lastColumn="0" w:lastRow="0" w:noHBand="0" w:noVBand="1" w:val="04A0"/>
      </w:tblPr>
      <w:tblGrid>
        <w:gridCol w:w="3324"/>
        <w:gridCol w:w="3324"/>
        <w:gridCol w:w="3324"/>
      </w:tblGrid>
      <w:tr>
        <w:tc>
          <w:tcPr>
            <w:tcW w:type="dxa" w:w="3402"/>
            <w:shd w:val="clear" w:color="auto" w:fill="1B5E3B"/>
          </w:tcPr>
          <w:p>
            <w:r/>
            <w:r>
              <w:rPr>
                <w:b/>
                <w:color w:val="FFFFFF"/>
              </w:rPr>
              <w:t>Volume de photos</w:t>
            </w:r>
          </w:p>
        </w:tc>
        <w:tc>
          <w:tcPr>
            <w:tcW w:type="dxa" w:w="2835"/>
            <w:shd w:val="clear" w:color="auto" w:fill="1B5E3B"/>
          </w:tcPr>
          <w:p>
            <w:r/>
            <w:r>
              <w:rPr>
                <w:b/>
                <w:color w:val="FFFFFF"/>
              </w:rPr>
              <w:t>Une zone</w:t>
            </w:r>
          </w:p>
        </w:tc>
        <w:tc>
          <w:tcPr>
            <w:tcW w:type="dxa" w:w="2835"/>
            <w:shd w:val="clear" w:color="auto" w:fill="1B5E3B"/>
          </w:tcPr>
          <w:p>
            <w:r/>
            <w:r>
              <w:rPr>
                <w:b/>
                <w:color w:val="FFFFFF"/>
              </w:rPr>
              <w:t>Trois zones</w:t>
            </w:r>
          </w:p>
        </w:tc>
      </w:tr>
      <w:tr>
        <w:tc>
          <w:tcPr>
            <w:tcW w:type="dxa" w:w="3402"/>
          </w:tcPr>
          <w:p>
            <w:r/>
            <w:r>
              <w:t>50 Go</w:t>
            </w:r>
          </w:p>
        </w:tc>
        <w:tc>
          <w:tcPr>
            <w:tcW w:type="dxa" w:w="2835"/>
          </w:tcPr>
          <w:p>
            <w:pPr>
              <w:jc w:val="right"/>
            </w:pPr>
            <w:r/>
            <w:r>
              <w:t>0,35 €</w:t>
            </w:r>
          </w:p>
        </w:tc>
        <w:tc>
          <w:tcPr>
            <w:tcW w:type="dxa" w:w="2835"/>
          </w:tcPr>
          <w:p>
            <w:pPr>
              <w:jc w:val="right"/>
            </w:pPr>
            <w:r/>
            <w:r>
              <w:t>0,70 €</w:t>
            </w:r>
          </w:p>
        </w:tc>
      </w:tr>
      <w:tr>
        <w:tc>
          <w:tcPr>
            <w:tcW w:type="dxa" w:w="3402"/>
            <w:shd w:val="clear" w:color="auto" w:fill="E4F1E8"/>
          </w:tcPr>
          <w:p>
            <w:r/>
            <w:r>
              <w:rPr>
                <w:b/>
              </w:rPr>
              <w:t>100 Go</w:t>
            </w:r>
          </w:p>
        </w:tc>
        <w:tc>
          <w:tcPr>
            <w:tcW w:type="dxa" w:w="2835"/>
            <w:shd w:val="clear" w:color="auto" w:fill="E4F1E8"/>
          </w:tcPr>
          <w:p>
            <w:pPr>
              <w:jc w:val="right"/>
            </w:pPr>
            <w:r/>
            <w:r>
              <w:rPr>
                <w:b/>
              </w:rPr>
              <w:t>0,70 €</w:t>
            </w:r>
          </w:p>
        </w:tc>
        <w:tc>
          <w:tcPr>
            <w:tcW w:type="dxa" w:w="2835"/>
            <w:shd w:val="clear" w:color="auto" w:fill="E4F1E8"/>
          </w:tcPr>
          <w:p>
            <w:pPr>
              <w:jc w:val="right"/>
            </w:pPr>
            <w:r/>
            <w:r>
              <w:rPr>
                <w:b/>
              </w:rPr>
              <w:t>1,40 €</w:t>
            </w:r>
          </w:p>
        </w:tc>
      </w:tr>
      <w:tr>
        <w:tc>
          <w:tcPr>
            <w:tcW w:type="dxa" w:w="3402"/>
          </w:tcPr>
          <w:p>
            <w:r/>
            <w:r>
              <w:t>250 Go</w:t>
            </w:r>
          </w:p>
        </w:tc>
        <w:tc>
          <w:tcPr>
            <w:tcW w:type="dxa" w:w="2835"/>
          </w:tcPr>
          <w:p>
            <w:pPr>
              <w:jc w:val="right"/>
            </w:pPr>
            <w:r/>
            <w:r>
              <w:t>1,75 €</w:t>
            </w:r>
          </w:p>
        </w:tc>
        <w:tc>
          <w:tcPr>
            <w:tcW w:type="dxa" w:w="2835"/>
          </w:tcPr>
          <w:p>
            <w:pPr>
              <w:jc w:val="right"/>
            </w:pPr>
            <w:r/>
            <w:r>
              <w:t>3,50 €</w:t>
            </w:r>
          </w:p>
        </w:tc>
      </w:tr>
      <w:tr>
        <w:tc>
          <w:tcPr>
            <w:tcW w:type="dxa" w:w="3402"/>
          </w:tcPr>
          <w:p>
            <w:r/>
            <w:r>
              <w:t>500 Go</w:t>
            </w:r>
          </w:p>
        </w:tc>
        <w:tc>
          <w:tcPr>
            <w:tcW w:type="dxa" w:w="2835"/>
          </w:tcPr>
          <w:p>
            <w:pPr>
              <w:jc w:val="right"/>
            </w:pPr>
            <w:r/>
            <w:r>
              <w:t>3,50 €</w:t>
            </w:r>
          </w:p>
        </w:tc>
        <w:tc>
          <w:tcPr>
            <w:tcW w:type="dxa" w:w="2835"/>
          </w:tcPr>
          <w:p>
            <w:pPr>
              <w:jc w:val="right"/>
            </w:pPr>
            <w:r/>
            <w:r>
              <w:t>7,00 €</w:t>
            </w:r>
          </w:p>
        </w:tc>
      </w:tr>
    </w:tbl>
    <w:p/>
    <w:p>
      <w:r>
        <w:rPr>
          <w:b w:val="0"/>
          <w:i w:val="0"/>
        </w:rPr>
        <w:t>Le trafic sortant gratuit compte beaucoup pour une galerie d'annonces servie directement aux visiteurs. La réplication sur trois zones est retenue : la différence est de quelques dizaines de centimes.</w:t>
      </w:r>
    </w:p>
    <w:p>
      <w:pPr>
        <w:pStyle w:val="Heading1"/>
      </w:pPr>
      <w:r>
        <w:rPr>
          <w:color w:val="1B5E3B"/>
        </w:rPr>
        <w:t>5. Budget mensuel retenu, hors taxes</w:t>
      </w:r>
    </w:p>
    <w:p>
      <w:r>
        <w:rPr>
          <w:b w:val="0"/>
          <w:i/>
        </w:rPr>
        <w:t>Hypothèses : VPS-3 avec engagement de douze mois, classe Standard trois zones, 100 Go de photos, sauvegarde automatique du serveur activée.</w:t>
      </w:r>
    </w:p>
    <w:tbl>
      <w:tblPr>
        <w:tblStyle w:val="TableGrid"/>
        <w:tblW w:type="auto" w:w="0"/>
        <w:jc w:val="center"/>
        <w:tblLook w:firstColumn="1" w:firstRow="1" w:lastColumn="0" w:lastRow="0" w:noHBand="0" w:noVBand="1" w:val="04A0"/>
      </w:tblPr>
      <w:tblGrid>
        <w:gridCol w:w="3324"/>
        <w:gridCol w:w="3324"/>
        <w:gridCol w:w="3324"/>
      </w:tblGrid>
      <w:tr>
        <w:tc>
          <w:tcPr>
            <w:tcW w:type="dxa" w:w="2835"/>
            <w:shd w:val="clear" w:color="auto" w:fill="1B5E3B"/>
          </w:tcPr>
          <w:p>
            <w:r/>
            <w:r>
              <w:rPr>
                <w:b/>
                <w:color w:val="FFFFFF"/>
              </w:rPr>
              <w:t>Poste</w:t>
            </w:r>
          </w:p>
        </w:tc>
        <w:tc>
          <w:tcPr>
            <w:tcW w:type="dxa" w:w="3969"/>
            <w:shd w:val="clear" w:color="auto" w:fill="1B5E3B"/>
          </w:tcPr>
          <w:p>
            <w:r/>
            <w:r>
              <w:rPr>
                <w:b/>
                <w:color w:val="FFFFFF"/>
              </w:rPr>
              <w:t>Détail</w:t>
            </w:r>
          </w:p>
        </w:tc>
        <w:tc>
          <w:tcPr>
            <w:tcW w:type="dxa" w:w="2551"/>
            <w:shd w:val="clear" w:color="auto" w:fill="1B5E3B"/>
          </w:tcPr>
          <w:p>
            <w:r/>
            <w:r>
              <w:rPr>
                <w:b/>
                <w:color w:val="FFFFFF"/>
              </w:rPr>
              <w:t>Montant HT / mois</w:t>
            </w:r>
          </w:p>
        </w:tc>
      </w:tr>
      <w:tr>
        <w:tc>
          <w:tcPr>
            <w:tcW w:type="dxa" w:w="2835"/>
          </w:tcPr>
          <w:p>
            <w:r/>
            <w:r>
              <w:t>Serveur</w:t>
            </w:r>
          </w:p>
        </w:tc>
        <w:tc>
          <w:tcPr>
            <w:tcW w:type="dxa" w:w="3969"/>
          </w:tcPr>
          <w:p>
            <w:r/>
            <w:r>
              <w:t>VPS-3 : 8 vCPU, 24 Go, 200 Go NVMe</w:t>
            </w:r>
          </w:p>
        </w:tc>
        <w:tc>
          <w:tcPr>
            <w:tcW w:type="dxa" w:w="2551"/>
          </w:tcPr>
          <w:p>
            <w:pPr>
              <w:jc w:val="right"/>
            </w:pPr>
            <w:r/>
            <w:r>
              <w:t>16,99 €</w:t>
            </w:r>
          </w:p>
        </w:tc>
      </w:tr>
      <w:tr>
        <w:tc>
          <w:tcPr>
            <w:tcW w:type="dxa" w:w="2835"/>
          </w:tcPr>
          <w:p>
            <w:r/>
            <w:r>
              <w:t>Stockage objet</w:t>
            </w:r>
          </w:p>
        </w:tc>
        <w:tc>
          <w:tcPr>
            <w:tcW w:type="dxa" w:w="3969"/>
          </w:tcPr>
          <w:p>
            <w:r/>
            <w:r>
              <w:t>100 Go, classe Standard, trois zones</w:t>
            </w:r>
          </w:p>
        </w:tc>
        <w:tc>
          <w:tcPr>
            <w:tcW w:type="dxa" w:w="2551"/>
          </w:tcPr>
          <w:p>
            <w:pPr>
              <w:jc w:val="right"/>
            </w:pPr>
            <w:r/>
            <w:r>
              <w:t>1,40 €</w:t>
            </w:r>
          </w:p>
        </w:tc>
      </w:tr>
      <w:tr>
        <w:tc>
          <w:tcPr>
            <w:tcW w:type="dxa" w:w="2835"/>
          </w:tcPr>
          <w:p>
            <w:r/>
            <w:r>
              <w:t>Sauvegarde automatique</w:t>
            </w:r>
          </w:p>
        </w:tc>
        <w:tc>
          <w:tcPr>
            <w:tcW w:type="dxa" w:w="3969"/>
          </w:tcPr>
          <w:p>
            <w:r/>
            <w:r>
              <w:t>option VPS</w:t>
            </w:r>
          </w:p>
        </w:tc>
        <w:tc>
          <w:tcPr>
            <w:tcW w:type="dxa" w:w="2551"/>
          </w:tcPr>
          <w:p>
            <w:pPr>
              <w:jc w:val="right"/>
            </w:pPr>
            <w:r/>
            <w:r>
              <w:t>3,30 €</w:t>
            </w:r>
          </w:p>
        </w:tc>
      </w:tr>
      <w:tr>
        <w:tc>
          <w:tcPr>
            <w:tcW w:type="dxa" w:w="2835"/>
            <w:shd w:val="clear" w:color="auto" w:fill="E4F1E8"/>
          </w:tcPr>
          <w:p>
            <w:r/>
            <w:r>
              <w:rPr>
                <w:b/>
              </w:rPr>
              <w:t>Total HT / mois</w:t>
            </w:r>
          </w:p>
        </w:tc>
        <w:tc>
          <w:tcPr>
            <w:tcW w:type="dxa" w:w="3969"/>
            <w:shd w:val="clear" w:color="auto" w:fill="E4F1E8"/>
          </w:tcPr>
          <w:p>
            <w:r/>
            <w:r>
              <w:rPr>
                <w:b/>
              </w:rPr>
            </w:r>
          </w:p>
        </w:tc>
        <w:tc>
          <w:tcPr>
            <w:tcW w:type="dxa" w:w="2551"/>
            <w:shd w:val="clear" w:color="auto" w:fill="E4F1E8"/>
          </w:tcPr>
          <w:p>
            <w:pPr>
              <w:jc w:val="right"/>
            </w:pPr>
            <w:r/>
            <w:r>
              <w:rPr>
                <w:b/>
              </w:rPr>
              <w:t>21,69 €</w:t>
            </w:r>
          </w:p>
        </w:tc>
      </w:tr>
      <w:tr>
        <w:tc>
          <w:tcPr>
            <w:tcW w:type="dxa" w:w="2835"/>
            <w:shd w:val="clear" w:color="auto" w:fill="E4F1E8"/>
          </w:tcPr>
          <w:p>
            <w:r/>
            <w:r>
              <w:rPr>
                <w:b/>
              </w:rPr>
              <w:t>TVA 20 %</w:t>
            </w:r>
          </w:p>
        </w:tc>
        <w:tc>
          <w:tcPr>
            <w:tcW w:type="dxa" w:w="3969"/>
            <w:shd w:val="clear" w:color="auto" w:fill="E4F1E8"/>
          </w:tcPr>
          <w:p>
            <w:r/>
            <w:r>
              <w:rPr>
                <w:b/>
              </w:rPr>
            </w:r>
          </w:p>
        </w:tc>
        <w:tc>
          <w:tcPr>
            <w:tcW w:type="dxa" w:w="2551"/>
            <w:shd w:val="clear" w:color="auto" w:fill="E4F1E8"/>
          </w:tcPr>
          <w:p>
            <w:pPr>
              <w:jc w:val="right"/>
            </w:pPr>
            <w:r/>
            <w:r>
              <w:rPr>
                <w:b/>
              </w:rPr>
              <w:t>4,34 €</w:t>
            </w:r>
          </w:p>
        </w:tc>
      </w:tr>
      <w:tr>
        <w:tc>
          <w:tcPr>
            <w:tcW w:type="dxa" w:w="2835"/>
            <w:shd w:val="clear" w:color="auto" w:fill="E4F1E8"/>
          </w:tcPr>
          <w:p>
            <w:r/>
            <w:r>
              <w:rPr>
                <w:b/>
              </w:rPr>
              <w:t>Total TTC / mois</w:t>
            </w:r>
          </w:p>
        </w:tc>
        <w:tc>
          <w:tcPr>
            <w:tcW w:type="dxa" w:w="3969"/>
            <w:shd w:val="clear" w:color="auto" w:fill="E4F1E8"/>
          </w:tcPr>
          <w:p>
            <w:r/>
            <w:r>
              <w:rPr>
                <w:b/>
              </w:rPr>
            </w:r>
          </w:p>
        </w:tc>
        <w:tc>
          <w:tcPr>
            <w:tcW w:type="dxa" w:w="2551"/>
            <w:shd w:val="clear" w:color="auto" w:fill="E4F1E8"/>
          </w:tcPr>
          <w:p>
            <w:pPr>
              <w:jc w:val="right"/>
            </w:pPr>
            <w:r/>
            <w:r>
              <w:rPr>
                <w:b/>
              </w:rPr>
              <w:t>26,03 €</w:t>
            </w:r>
          </w:p>
        </w:tc>
      </w:tr>
      <w:tr>
        <w:tc>
          <w:tcPr>
            <w:tcW w:type="dxa" w:w="2835"/>
            <w:shd w:val="clear" w:color="auto" w:fill="E4F1E8"/>
          </w:tcPr>
          <w:p>
            <w:r/>
            <w:r>
              <w:rPr>
                <w:b/>
              </w:rPr>
              <w:t>Coût calculé HT / an</w:t>
            </w:r>
          </w:p>
        </w:tc>
        <w:tc>
          <w:tcPr>
            <w:tcW w:type="dxa" w:w="3969"/>
            <w:shd w:val="clear" w:color="auto" w:fill="E4F1E8"/>
          </w:tcPr>
          <w:p>
            <w:pPr>
              <w:jc w:val="right"/>
            </w:pPr>
            <w:r/>
            <w:r>
              <w:rPr>
                <w:b/>
              </w:rPr>
              <w:t>12 × 21,69 €</w:t>
            </w:r>
          </w:p>
        </w:tc>
        <w:tc>
          <w:tcPr>
            <w:tcW w:type="dxa" w:w="2551"/>
            <w:shd w:val="clear" w:color="auto" w:fill="E4F1E8"/>
          </w:tcPr>
          <w:p>
            <w:pPr>
              <w:jc w:val="right"/>
            </w:pPr>
            <w:r/>
            <w:r>
              <w:rPr>
                <w:b/>
              </w:rPr>
              <w:t>260,28 €</w:t>
            </w:r>
          </w:p>
        </w:tc>
      </w:tr>
      <w:tr>
        <w:tc>
          <w:tcPr>
            <w:tcW w:type="dxa" w:w="2835"/>
            <w:shd w:val="clear" w:color="auto" w:fill="E4F1E8"/>
          </w:tcPr>
          <w:p>
            <w:r/>
            <w:r>
              <w:rPr>
                <w:b/>
              </w:rPr>
              <w:t>Coût calculé TTC / an</w:t>
            </w:r>
          </w:p>
        </w:tc>
        <w:tc>
          <w:tcPr>
            <w:tcW w:type="dxa" w:w="3969"/>
            <w:shd w:val="clear" w:color="auto" w:fill="E4F1E8"/>
          </w:tcPr>
          <w:p>
            <w:pPr>
              <w:jc w:val="right"/>
            </w:pPr>
            <w:r/>
            <w:r>
              <w:rPr>
                <w:b/>
              </w:rPr>
              <w:t>12 × 26,03 €</w:t>
            </w:r>
          </w:p>
        </w:tc>
        <w:tc>
          <w:tcPr>
            <w:tcW w:type="dxa" w:w="2551"/>
            <w:shd w:val="clear" w:color="auto" w:fill="E4F1E8"/>
          </w:tcPr>
          <w:p>
            <w:pPr>
              <w:jc w:val="right"/>
            </w:pPr>
            <w:r/>
            <w:r>
              <w:rPr>
                <w:b/>
              </w:rPr>
              <w:t>312,34 €</w:t>
            </w:r>
          </w:p>
        </w:tc>
      </w:tr>
    </w:tbl>
    <w:p/>
    <w:p>
      <w:pPr>
        <w:pStyle w:val="Heading2"/>
      </w:pPr>
      <w:r>
        <w:rPr>
          <w:color w:val="1B5E3B"/>
        </w:rPr>
        <w:t>Enveloppe annuelle retenue</w:t>
      </w:r>
    </w:p>
    <w:p>
      <w:r>
        <w:rPr>
          <w:b w:val="0"/>
          <w:i w:val="0"/>
        </w:rPr>
        <w:t>Le coût calculé est majoré pour fixer l'enveloppe à engager. La provision couvre la croissance du volume de photos, les options ponctuelles (instantanés, adresse IPv4 supplémentaire), une éventuelle hausse tarifaire en cours d'année et un mois de fonctionnement sans engagement en cas de changement d'offre.</w:t>
      </w:r>
    </w:p>
    <w:tbl>
      <w:tblPr>
        <w:tblStyle w:val="TableGrid"/>
        <w:tblW w:type="auto" w:w="0"/>
        <w:jc w:val="center"/>
        <w:tblLook w:firstColumn="1" w:firstRow="1" w:lastColumn="0" w:lastRow="0" w:noHBand="0" w:noVBand="1" w:val="04A0"/>
      </w:tblPr>
      <w:tblGrid>
        <w:gridCol w:w="3324"/>
        <w:gridCol w:w="3324"/>
        <w:gridCol w:w="3324"/>
      </w:tblGrid>
      <w:tr>
        <w:tc>
          <w:tcPr>
            <w:tcW w:type="dxa" w:w="2835"/>
            <w:shd w:val="clear" w:color="auto" w:fill="1B5E3B"/>
          </w:tcPr>
          <w:p>
            <w:r/>
            <w:r>
              <w:rPr>
                <w:b/>
                <w:color w:val="FFFFFF"/>
              </w:rPr>
              <w:t>Ligne</w:t>
            </w:r>
          </w:p>
        </w:tc>
        <w:tc>
          <w:tcPr>
            <w:tcW w:type="dxa" w:w="3969"/>
            <w:shd w:val="clear" w:color="auto" w:fill="1B5E3B"/>
          </w:tcPr>
          <w:p>
            <w:r/>
            <w:r>
              <w:rPr>
                <w:b/>
                <w:color w:val="FFFFFF"/>
              </w:rPr>
              <w:t>Détail</w:t>
            </w:r>
          </w:p>
        </w:tc>
        <w:tc>
          <w:tcPr>
            <w:tcW w:type="dxa" w:w="2551"/>
            <w:shd w:val="clear" w:color="auto" w:fill="1B5E3B"/>
          </w:tcPr>
          <w:p>
            <w:r/>
            <w:r>
              <w:rPr>
                <w:b/>
                <w:color w:val="FFFFFF"/>
              </w:rPr>
              <w:t>Montant</w:t>
            </w:r>
          </w:p>
        </w:tc>
      </w:tr>
      <w:tr>
        <w:tc>
          <w:tcPr>
            <w:tcW w:type="dxa" w:w="2835"/>
          </w:tcPr>
          <w:p>
            <w:r/>
            <w:r>
              <w:t>Coût calculé HT / an</w:t>
            </w:r>
          </w:p>
        </w:tc>
        <w:tc>
          <w:tcPr>
            <w:tcW w:type="dxa" w:w="3969"/>
          </w:tcPr>
          <w:p>
            <w:r/>
            <w:r>
              <w:t>section ci-dessus</w:t>
            </w:r>
          </w:p>
        </w:tc>
        <w:tc>
          <w:tcPr>
            <w:tcW w:type="dxa" w:w="2551"/>
          </w:tcPr>
          <w:p>
            <w:pPr>
              <w:jc w:val="right"/>
            </w:pPr>
            <w:r/>
            <w:r>
              <w:t>260,28 €</w:t>
            </w:r>
          </w:p>
        </w:tc>
      </w:tr>
      <w:tr>
        <w:tc>
          <w:tcPr>
            <w:tcW w:type="dxa" w:w="2835"/>
          </w:tcPr>
          <w:p>
            <w:r/>
            <w:r>
              <w:t>Provision</w:t>
            </w:r>
          </w:p>
        </w:tc>
        <w:tc>
          <w:tcPr>
            <w:tcW w:type="dxa" w:w="3969"/>
          </w:tcPr>
          <w:p>
            <w:pPr>
              <w:jc w:val="right"/>
            </w:pPr>
            <w:r/>
            <w:r>
              <w:t>majoration de 88 %</w:t>
            </w:r>
          </w:p>
        </w:tc>
        <w:tc>
          <w:tcPr>
            <w:tcW w:type="dxa" w:w="2551"/>
          </w:tcPr>
          <w:p>
            <w:pPr>
              <w:jc w:val="right"/>
            </w:pPr>
            <w:r/>
            <w:r>
              <w:t>229,72 €</w:t>
            </w:r>
          </w:p>
        </w:tc>
      </w:tr>
      <w:tr>
        <w:tc>
          <w:tcPr>
            <w:tcW w:type="dxa" w:w="2835"/>
            <w:shd w:val="clear" w:color="auto" w:fill="C9E4D2"/>
          </w:tcPr>
          <w:p>
            <w:r/>
            <w:r>
              <w:rPr>
                <w:b/>
                <w:color w:val="1B5E3B"/>
                <w:sz w:val="24"/>
              </w:rPr>
              <w:t>Enveloppe retenue HT / an</w:t>
            </w:r>
          </w:p>
        </w:tc>
        <w:tc>
          <w:tcPr>
            <w:tcW w:type="dxa" w:w="3969"/>
            <w:shd w:val="clear" w:color="auto" w:fill="C9E4D2"/>
          </w:tcPr>
          <w:p>
            <w:r/>
            <w:r>
              <w:rPr>
                <w:b/>
                <w:color w:val="1B5E3B"/>
                <w:sz w:val="24"/>
              </w:rPr>
            </w:r>
          </w:p>
        </w:tc>
        <w:tc>
          <w:tcPr>
            <w:tcW w:type="dxa" w:w="2551"/>
            <w:shd w:val="clear" w:color="auto" w:fill="C9E4D2"/>
          </w:tcPr>
          <w:p>
            <w:pPr>
              <w:jc w:val="right"/>
            </w:pPr>
            <w:r/>
            <w:r>
              <w:rPr>
                <w:b/>
                <w:color w:val="1B5E3B"/>
                <w:sz w:val="24"/>
              </w:rPr>
              <w:t>490,00 €</w:t>
            </w:r>
          </w:p>
        </w:tc>
      </w:tr>
      <w:tr>
        <w:tc>
          <w:tcPr>
            <w:tcW w:type="dxa" w:w="2835"/>
            <w:shd w:val="clear" w:color="auto" w:fill="E4F1E8"/>
          </w:tcPr>
          <w:p>
            <w:r/>
            <w:r>
              <w:rPr>
                <w:b/>
              </w:rPr>
              <w:t>Équivalent HT / mois</w:t>
            </w:r>
          </w:p>
        </w:tc>
        <w:tc>
          <w:tcPr>
            <w:tcW w:type="dxa" w:w="3969"/>
            <w:shd w:val="clear" w:color="auto" w:fill="E4F1E8"/>
          </w:tcPr>
          <w:p>
            <w:pPr>
              <w:jc w:val="right"/>
            </w:pPr>
            <w:r/>
            <w:r>
              <w:rPr>
                <w:b/>
              </w:rPr>
              <w:t>490,00 € / 12</w:t>
            </w:r>
          </w:p>
        </w:tc>
        <w:tc>
          <w:tcPr>
            <w:tcW w:type="dxa" w:w="2551"/>
            <w:shd w:val="clear" w:color="auto" w:fill="E4F1E8"/>
          </w:tcPr>
          <w:p>
            <w:pPr>
              <w:jc w:val="right"/>
            </w:pPr>
            <w:r/>
            <w:r>
              <w:rPr>
                <w:b/>
              </w:rPr>
              <w:t>40,83 €</w:t>
            </w:r>
          </w:p>
        </w:tc>
      </w:tr>
      <w:tr>
        <w:tc>
          <w:tcPr>
            <w:tcW w:type="dxa" w:w="2835"/>
            <w:shd w:val="clear" w:color="auto" w:fill="E4F1E8"/>
          </w:tcPr>
          <w:p>
            <w:r/>
            <w:r>
              <w:rPr>
                <w:b/>
              </w:rPr>
              <w:t>Enveloppe TTC / an</w:t>
            </w:r>
          </w:p>
        </w:tc>
        <w:tc>
          <w:tcPr>
            <w:tcW w:type="dxa" w:w="3969"/>
            <w:shd w:val="clear" w:color="auto" w:fill="E4F1E8"/>
          </w:tcPr>
          <w:p>
            <w:pPr>
              <w:jc w:val="right"/>
            </w:pPr>
            <w:r/>
            <w:r>
              <w:rPr>
                <w:b/>
              </w:rPr>
              <w:t>TVA 20 %</w:t>
            </w:r>
          </w:p>
        </w:tc>
        <w:tc>
          <w:tcPr>
            <w:tcW w:type="dxa" w:w="2551"/>
            <w:shd w:val="clear" w:color="auto" w:fill="E4F1E8"/>
          </w:tcPr>
          <w:p>
            <w:pPr>
              <w:jc w:val="right"/>
            </w:pPr>
            <w:r/>
            <w:r>
              <w:rPr>
                <w:b/>
              </w:rPr>
              <w:t>588,00 €</w:t>
            </w:r>
          </w:p>
        </w:tc>
      </w:tr>
    </w:tbl>
    <w:p/>
    <w:p>
      <w:r>
        <w:rPr>
          <w:b w:val="0"/>
          <w:i w:val="0"/>
        </w:rPr>
        <w:t>Le stockage objet exige un projet Public Cloud, distinct du VPS, sans frais fixe. Pour mémoire, le scénario « production seule » sur VPS-2 revenait à 13,19 € HT par mois ; il a été écarté pour conserver un environnement de test permanent.</w:t>
      </w:r>
    </w:p>
    <w:p>
      <w:pPr>
        <w:pStyle w:val="Heading1"/>
      </w:pPr>
      <w:r>
        <w:rPr>
          <w:color w:val="1B5E3B"/>
        </w:rPr>
        <w:t>6. Recommandations</w:t>
      </w:r>
    </w:p>
    <w:p>
      <w:pPr>
        <w:pStyle w:val="ListBullet"/>
      </w:pPr>
      <w:r>
        <w:t>Souscrire le VPS-3 avec engagement de douze mois dès validation : c'est l'hypothèse de ce budget, et le tarif sans engagement est d'environ 40 % plus élevé.</w:t>
      </w:r>
    </w:p>
    <w:p>
      <w:pPr>
        <w:pStyle w:val="ListBullet"/>
      </w:pPr>
      <w:r>
        <w:t>Activer la sauvegarde automatique du serveur : la base de données y réside et n'est pas répliquée.</w:t>
      </w:r>
    </w:p>
    <w:p>
      <w:pPr>
        <w:pStyle w:val="ListBullet"/>
      </w:pPr>
      <w:r>
        <w:t>Basculer les photos sur l'Object Storage avant la mise en production, pour ne jamais avoir à migrer un volume important plus tard (procédure : docs/bascule-object-storage-ovh.md).</w:t>
      </w:r>
    </w:p>
    <w:p>
      <w:pPr>
        <w:pStyle w:val="ListBullet"/>
      </w:pPr>
      <w:r>
        <w:t>Surveiller la mémoire après mise en route : 16,2 Go réservés sur 24 Go laissent la marge du système, de Docker et des pics.</w:t>
      </w:r>
    </w:p>
    <w:p>
      <w:pPr>
        <w:pStyle w:val="ListBullet"/>
      </w:pPr>
      <w:r>
        <w:t>Suivre la consommation réelle contre l'enveloppe chaque trimestre : au rythme calculé, 229,72 € restent disponibles sur l'année pour les imprévus.</w:t>
      </w:r>
    </w:p>
    <w:p>
      <w:pPr>
        <w:pStyle w:val="Heading1"/>
      </w:pPr>
      <w:r>
        <w:rPr>
          <w:color w:val="1B5E3B"/>
        </w:rPr>
        <w:t>7. Sources</w:t>
      </w:r>
    </w:p>
    <w:p>
      <w:pPr>
        <w:pStyle w:val="ListBullet"/>
      </w:pPr>
      <w:r>
        <w:t xml:space="preserve">OVHcloud — page officielle des VPS (configurateur et tarifs du jour) — </w:t>
      </w:r>
      <w:hyperlink r:id="rId9">
        <w:r>
          <w:rPr>
            <w:color w:val="1B5E3B"/>
            <w:u w:val="single"/>
          </w:rPr>
          <w:t xml:space="preserve">https://www.ovhcloud.com/fr/vps/</w:t>
        </w:r>
      </w:hyperlink>
    </w:p>
    <w:p>
      <w:pPr>
        <w:pStyle w:val="ListBullet"/>
      </w:pPr>
      <w:r>
        <w:t xml:space="preserve">OVHcloud — tarifs Public Cloud (Object Storage, Block Storage) — </w:t>
      </w:r>
      <w:hyperlink r:id="rId10">
        <w:r>
          <w:rPr>
            <w:color w:val="1B5E3B"/>
            <w:u w:val="single"/>
          </w:rPr>
          <w:t xml:space="preserve">https://www.ovhcloud.com/fr/public-cloud/prices/</w:t>
        </w:r>
      </w:hyperlink>
    </w:p>
    <w:p>
      <w:pPr>
        <w:pStyle w:val="ListBullet"/>
      </w:pPr>
      <w:r>
        <w:t xml:space="preserve">OVHcloud — points d'accès S3 et régions de l'Object Storage — </w:t>
      </w:r>
      <w:hyperlink r:id="rId11">
        <w:r>
          <w:rPr>
            <w:color w:val="1B5E3B"/>
            <w:u w:val="single"/>
          </w:rPr>
          <w:t xml:space="preserve">https://docs.ovhcloud.com/en/guides/storage-and-backup/object-storage/s3-location</w:t>
        </w:r>
      </w:hyperlink>
    </w:p>
    <w:p>
      <w:pPr>
        <w:pStyle w:val="ListBullet"/>
      </w:pPr>
      <w:r>
        <w:t xml:space="preserve">OVHcloud — FAQ Object Storage (facturation, compatibilité S3) — </w:t>
      </w:r>
      <w:hyperlink r:id="rId12">
        <w:r>
          <w:rPr>
            <w:color w:val="1B5E3B"/>
            <w:u w:val="single"/>
          </w:rPr>
          <w:t xml:space="preserve">https://docs.ovhcloud.com/en/guides/storage-and-backup/object-storage/s3-faq</w:t>
        </w:r>
      </w:hyperlink>
    </w:p>
    <w:p>
      <w:pPr>
        <w:pStyle w:val="ListBullet"/>
      </w:pPr>
      <w:r>
        <w:t xml:space="preserve">Test OVHcloud VPS 2026 — hebergement-vps.fr (mise à jour mai 2026) — </w:t>
      </w:r>
      <w:hyperlink r:id="rId13">
        <w:r>
          <w:rPr>
            <w:color w:val="1B5E3B"/>
            <w:u w:val="single"/>
          </w:rPr>
          <w:t xml:space="preserve">https://www.hebergement-vps.fr/test/ovhcloud</w:t>
        </w:r>
      </w:hyperlink>
    </w:p>
    <w:p>
      <w:pPr>
        <w:pStyle w:val="ListBullet"/>
      </w:pPr>
      <w:r>
        <w:t xml:space="preserve">OVHcloud augmente fortement le prix de ses VPS 2026 et IPv4 — christophevincent.fr — </w:t>
      </w:r>
      <w:hyperlink r:id="rId14">
        <w:r>
          <w:rPr>
            <w:color w:val="1B5E3B"/>
            <w:u w:val="single"/>
          </w:rPr>
          <w:t xml:space="preserve">https://christophevincent.fr/ovhcloud-augmente-fortement-le-prix-de-ses-vps-2026-et-ipv4/</w:t>
        </w:r>
      </w:hyperlink>
    </w:p>
    <w:p>
      <w:pPr>
        <w:pStyle w:val="ListBullet"/>
      </w:pPr>
      <w:r>
        <w:t xml:space="preserve">VPS OVHcloud 2026 — tophebergeur.com — </w:t>
      </w:r>
      <w:hyperlink r:id="rId15">
        <w:r>
          <w:rPr>
            <w:color w:val="1B5E3B"/>
            <w:u w:val="single"/>
          </w:rPr>
          <w:t xml:space="preserve">https://www.tophebergeur.com/produit/ovh-vps/</w:t>
        </w:r>
      </w:hyperlink>
    </w:p>
    <w:p>
      <w:pPr>
        <w:pStyle w:val="ListBullet"/>
      </w:pPr>
      <w:r>
        <w:t xml:space="preserve">OVHcloud Object Storage pricing — s3providers.com — </w:t>
      </w:r>
      <w:hyperlink r:id="rId16">
        <w:r>
          <w:rPr>
            <w:color w:val="1B5E3B"/>
            <w:u w:val="single"/>
          </w:rPr>
          <w:t xml:space="preserve">https://s3providers.com/providers/ovhcloud-object-storage</w:t>
        </w:r>
      </w:hyperlink>
    </w:p>
    <w:p>
      <w:pPr>
        <w:pStyle w:val="ListBullet"/>
      </w:pPr>
      <w:r>
        <w:t xml:space="preserve">OVHcloud Object Storage pricing and free tier — whichdevtool.com — </w:t>
      </w:r>
      <w:hyperlink r:id="rId17">
        <w:r>
          <w:rPr>
            <w:color w:val="1B5E3B"/>
            <w:u w:val="single"/>
          </w:rPr>
          <w:t xml:space="preserve">https://whichdevtool.com/tools/ovhcloud-object-storage/</w:t>
        </w:r>
      </w:hyperlink>
    </w:p>
    <w:p>
      <w:r>
        <w:rPr>
          <w:b w:val="0"/>
          <w:i/>
        </w:rPr>
        <w:t>Les tarifs OVHcloud évoluent ; vérifier le configurateur officiel avant commande.</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ovhcloud.com/fr/vps/" TargetMode="External"/><Relationship Id="rId10" Type="http://schemas.openxmlformats.org/officeDocument/2006/relationships/hyperlink" Target="https://www.ovhcloud.com/fr/public-cloud/prices/" TargetMode="External"/><Relationship Id="rId11" Type="http://schemas.openxmlformats.org/officeDocument/2006/relationships/hyperlink" Target="https://docs.ovhcloud.com/en/guides/storage-and-backup/object-storage/s3-location" TargetMode="External"/><Relationship Id="rId12" Type="http://schemas.openxmlformats.org/officeDocument/2006/relationships/hyperlink" Target="https://docs.ovhcloud.com/en/guides/storage-and-backup/object-storage/s3-faq" TargetMode="External"/><Relationship Id="rId13" Type="http://schemas.openxmlformats.org/officeDocument/2006/relationships/hyperlink" Target="https://www.hebergement-vps.fr/test/ovhcloud" TargetMode="External"/><Relationship Id="rId14" Type="http://schemas.openxmlformats.org/officeDocument/2006/relationships/hyperlink" Target="https://christophevincent.fr/ovhcloud-augmente-fortement-le-prix-de-ses-vps-2026-et-ipv4/" TargetMode="External"/><Relationship Id="rId15" Type="http://schemas.openxmlformats.org/officeDocument/2006/relationships/hyperlink" Target="https://www.tophebergeur.com/produit/ovh-vps/" TargetMode="External"/><Relationship Id="rId16" Type="http://schemas.openxmlformats.org/officeDocument/2006/relationships/hyperlink" Target="https://s3providers.com/providers/ovhcloud-object-storage" TargetMode="External"/><Relationship Id="rId17" Type="http://schemas.openxmlformats.org/officeDocument/2006/relationships/hyperlink" Target="https://whichdevtool.com/tools/ovhcloud-object-stor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