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9A227"/>
          <w:sz w:val="24"/>
        </w:rPr>
        <w:t>SYNERGIA · IMMO · TRANS · GUINÉE</w:t>
      </w:r>
    </w:p>
    <w:p>
      <w:pPr>
        <w:jc w:val="center"/>
      </w:pPr>
      <w:r>
        <w:rPr>
          <w:b/>
          <w:color w:val="1B5E3B"/>
          <w:sz w:val="48"/>
        </w:rPr>
        <w:t>Budget d'hébergement</w:t>
      </w:r>
    </w:p>
    <w:p>
      <w:pPr>
        <w:jc w:val="center"/>
      </w:pPr>
      <w:r>
        <w:rPr>
          <w:b w:val="0"/>
          <w:sz w:val="28"/>
        </w:rPr>
        <w:t>OVHcloud — serveur VPS-4 et stockage objet</w:t>
      </w:r>
    </w:p>
    <w:p>
      <w:pPr>
        <w:jc w:val="center"/>
      </w:pPr>
      <w:r>
        <w:rPr>
          <w:b/>
          <w:sz w:val="22"/>
        </w:rPr>
        <w:t>Serveur commandé · environnements de test et de production</w:t>
      </w:r>
    </w:p>
    <w:p>
      <w:pPr>
        <w:jc w:val="center"/>
      </w:pPr>
      <w:r>
        <w:rPr>
          <w:b w:val="0"/>
          <w:i/>
          <w:sz w:val="20"/>
        </w:rPr>
        <w:t>Montants hors taxes · TVA 0 % (facturation Guinée) · version du 22 octobre 2026</w:t>
      </w:r>
    </w:p>
    <w:p>
      <w:pPr>
        <w:pStyle w:val="Heading1"/>
      </w:pPr>
      <w:r>
        <w:rPr>
          <w:color w:val="1B5E3B"/>
        </w:rPr>
        <w:t>1. Objet</w:t>
      </w:r>
    </w:p>
    <w:p>
      <w:r>
        <w:rPr>
          <w:b w:val="0"/>
          <w:i w:val="0"/>
        </w:rPr>
        <w:t>Ce document chiffre l'hébergement de la plateforme SYNERGIA sur un serveur privé virtuel OVHcloud, avec le stockage des photos d'annonces sur OVHcloud Object Storage plutôt que sur le disque du serveur. Le serveur retenu, un VPS-4, porte les environnements de test et de production sur la même machine. Les factures OVH émises vers la Guinée ne portent pas de TVA : les montants hors taxes sont les montants payés.</w:t>
      </w:r>
    </w:p>
    <w:p>
      <w:pPr>
        <w:pStyle w:val="Heading1"/>
      </w:pPr>
      <w:r>
        <w:rPr>
          <w:color w:val="1B5E3B"/>
        </w:rPr>
        <w:t>2. Dimensionnement</w:t>
      </w:r>
    </w:p>
    <w:p>
      <w:r>
        <w:rPr>
          <w:b w:val="0"/>
          <w:i w:val="0"/>
        </w:rPr>
        <w:t>La pile complète réunit PostgreSQL, Kafka et Zookeeper, sept services Java, le serveur web et le stockage. Les limites mémoire déclarées dans le fichier de composition de la plateforme donnent :</w:t>
      </w:r>
    </w:p>
    <w:tbl>
      <w:tblPr>
        <w:tblStyle w:val="TableGrid"/>
        <w:tblW w:type="auto" w:w="0"/>
        <w:jc w:val="center"/>
        <w:tblLook w:firstColumn="1" w:firstRow="1" w:lastColumn="0" w:lastRow="0" w:noHBand="0" w:noVBand="1" w:val="04A0"/>
      </w:tblPr>
      <w:tblGrid>
        <w:gridCol w:w="4986"/>
        <w:gridCol w:w="4986"/>
      </w:tblGrid>
      <w:tr>
        <w:tc>
          <w:tcPr>
            <w:tcW w:type="dxa" w:w="5102"/>
            <w:shd w:val="clear" w:color="auto" w:fill="1B5E3B"/>
          </w:tcPr>
          <w:p>
            <w:r/>
            <w:r>
              <w:rPr>
                <w:b/>
                <w:color w:val="FFFFFF"/>
              </w:rPr>
              <w:t>Configuration</w:t>
            </w:r>
          </w:p>
        </w:tc>
        <w:tc>
          <w:tcPr>
            <w:tcW w:type="dxa" w:w="3402"/>
            <w:shd w:val="clear" w:color="auto" w:fill="1B5E3B"/>
          </w:tcPr>
          <w:p>
            <w:r/>
            <w:r>
              <w:rPr>
                <w:b/>
                <w:color w:val="FFFFFF"/>
              </w:rPr>
              <w:t>Mémoire</w:t>
            </w:r>
          </w:p>
        </w:tc>
      </w:tr>
      <w:tr>
        <w:tc>
          <w:tcPr>
            <w:tcW w:type="dxa" w:w="5102"/>
          </w:tcPr>
          <w:p>
            <w:r/>
            <w:r>
              <w:t>Une pile (un environnement)</w:t>
            </w:r>
          </w:p>
        </w:tc>
        <w:tc>
          <w:tcPr>
            <w:tcW w:type="dxa" w:w="3402"/>
          </w:tcPr>
          <w:p>
            <w:pPr>
              <w:jc w:val="right"/>
            </w:pPr>
            <w:r/>
            <w:r>
              <w:t>7,5 Go</w:t>
            </w:r>
          </w:p>
        </w:tc>
      </w:tr>
      <w:tr>
        <w:tc>
          <w:tcPr>
            <w:tcW w:type="dxa" w:w="5102"/>
          </w:tcPr>
          <w:p>
            <w:r/>
            <w:r>
              <w:t>Deux piles (test + production)</w:t>
            </w:r>
          </w:p>
        </w:tc>
        <w:tc>
          <w:tcPr>
            <w:tcW w:type="dxa" w:w="3402"/>
          </w:tcPr>
          <w:p>
            <w:pPr>
              <w:jc w:val="right"/>
            </w:pPr>
            <w:r/>
            <w:r>
              <w:t>15,1 Go</w:t>
            </w:r>
          </w:p>
        </w:tc>
      </w:tr>
      <w:tr>
        <w:tc>
          <w:tcPr>
            <w:tcW w:type="dxa" w:w="5102"/>
          </w:tcPr>
          <w:p>
            <w:r/>
            <w:r>
              <w:t>Système et Docker</w:t>
            </w:r>
          </w:p>
        </w:tc>
        <w:tc>
          <w:tcPr>
            <w:tcW w:type="dxa" w:w="3402"/>
          </w:tcPr>
          <w:p>
            <w:pPr>
              <w:jc w:val="right"/>
            </w:pPr>
            <w:r/>
            <w:r>
              <w:t>≈ 1,5 Go</w:t>
            </w:r>
          </w:p>
        </w:tc>
      </w:tr>
      <w:tr>
        <w:tc>
          <w:tcPr>
            <w:tcW w:type="dxa" w:w="5102"/>
            <w:shd w:val="clear" w:color="auto" w:fill="E4F1E8"/>
          </w:tcPr>
          <w:p>
            <w:r/>
            <w:r>
              <w:rPr>
                <w:b/>
              </w:rPr>
              <w:t>Besoin total</w:t>
            </w:r>
          </w:p>
        </w:tc>
        <w:tc>
          <w:tcPr>
            <w:tcW w:type="dxa" w:w="3402"/>
            <w:shd w:val="clear" w:color="auto" w:fill="E4F1E8"/>
          </w:tcPr>
          <w:p>
            <w:pPr>
              <w:jc w:val="right"/>
            </w:pPr>
            <w:r/>
            <w:r>
              <w:rPr>
                <w:b/>
              </w:rPr>
              <w:t>≈ 16,6 Go</w:t>
            </w:r>
          </w:p>
        </w:tc>
      </w:tr>
      <w:tr>
        <w:tc>
          <w:tcPr>
            <w:tcW w:type="dxa" w:w="5102"/>
          </w:tcPr>
          <w:p>
            <w:r/>
            <w:r>
              <w:t>Capacité du VPS-4</w:t>
            </w:r>
          </w:p>
        </w:tc>
        <w:tc>
          <w:tcPr>
            <w:tcW w:type="dxa" w:w="3402"/>
          </w:tcPr>
          <w:p>
            <w:pPr>
              <w:jc w:val="right"/>
            </w:pPr>
            <w:r/>
            <w:r>
              <w:t>24 Go</w:t>
            </w:r>
          </w:p>
        </w:tc>
      </w:tr>
      <w:tr>
        <w:tc>
          <w:tcPr>
            <w:tcW w:type="dxa" w:w="5102"/>
            <w:shd w:val="clear" w:color="auto" w:fill="C9E4D2"/>
          </w:tcPr>
          <w:p>
            <w:r/>
            <w:r>
              <w:rPr>
                <w:b/>
                <w:color w:val="1B5E3B"/>
                <w:sz w:val="24"/>
              </w:rPr>
              <w:t>Marge disponible</w:t>
            </w:r>
          </w:p>
        </w:tc>
        <w:tc>
          <w:tcPr>
            <w:tcW w:type="dxa" w:w="3402"/>
            <w:shd w:val="clear" w:color="auto" w:fill="C9E4D2"/>
          </w:tcPr>
          <w:p>
            <w:pPr>
              <w:jc w:val="right"/>
            </w:pPr>
            <w:r/>
            <w:r>
              <w:rPr>
                <w:b/>
                <w:color w:val="1B5E3B"/>
                <w:sz w:val="24"/>
              </w:rPr>
              <w:t>≈ 7,4 Go</w:t>
            </w:r>
          </w:p>
        </w:tc>
      </w:tr>
    </w:tbl>
    <w:p/>
    <w:p>
      <w:r>
        <w:rPr>
          <w:b w:val="0"/>
          <w:i/>
        </w:rPr>
        <w:t>Le VPS-3, à douze gigaoctets, n'aurait porté qu'un seul environnement. Le VPS-4 permet les deux sans partager ni la base, ni Kafka, ni l'annuaire de services, et donc sans risque de contamination entre environnements, notamment l'envoi d'un email de test à un utilisateur réel.</w:t>
      </w:r>
    </w:p>
    <w:p>
      <w:pPr>
        <w:pStyle w:val="Heading1"/>
      </w:pPr>
      <w:r>
        <w:rPr>
          <w:color w:val="1B5E3B"/>
        </w:rPr>
        <w:t>3. Le serveur retenu</w:t>
      </w:r>
    </w:p>
    <w:tbl>
      <w:tblPr>
        <w:tblStyle w:val="TableGrid"/>
        <w:tblW w:type="auto" w:w="0"/>
        <w:jc w:val="center"/>
        <w:tblLook w:firstColumn="1" w:firstRow="1" w:lastColumn="0" w:lastRow="0" w:noHBand="0" w:noVBand="1" w:val="04A0"/>
      </w:tblPr>
      <w:tblGrid>
        <w:gridCol w:w="4986"/>
        <w:gridCol w:w="4986"/>
      </w:tblGrid>
      <w:tr>
        <w:tc>
          <w:tcPr>
            <w:tcW w:type="dxa" w:w="3969"/>
            <w:shd w:val="clear" w:color="auto" w:fill="1B5E3B"/>
          </w:tcPr>
          <w:p>
            <w:r/>
            <w:r>
              <w:rPr>
                <w:b/>
                <w:color w:val="FFFFFF"/>
              </w:rPr>
              <w:t>Caractéristique</w:t>
            </w:r>
          </w:p>
        </w:tc>
        <w:tc>
          <w:tcPr>
            <w:tcW w:type="dxa" w:w="4535"/>
            <w:shd w:val="clear" w:color="auto" w:fill="1B5E3B"/>
          </w:tcPr>
          <w:p>
            <w:r/>
            <w:r>
              <w:rPr>
                <w:b/>
                <w:color w:val="FFFFFF"/>
              </w:rPr>
              <w:t>Valeur</w:t>
            </w:r>
          </w:p>
        </w:tc>
      </w:tr>
      <w:tr>
        <w:tc>
          <w:tcPr>
            <w:tcW w:type="dxa" w:w="3969"/>
          </w:tcPr>
          <w:p>
            <w:r/>
            <w:r>
              <w:t>Modèle</w:t>
            </w:r>
          </w:p>
        </w:tc>
        <w:tc>
          <w:tcPr>
            <w:tcW w:type="dxa" w:w="4535"/>
          </w:tcPr>
          <w:p>
            <w:r/>
            <w:r>
              <w:t>VPS-4 2027</w:t>
            </w:r>
          </w:p>
        </w:tc>
      </w:tr>
      <w:tr>
        <w:tc>
          <w:tcPr>
            <w:tcW w:type="dxa" w:w="3969"/>
          </w:tcPr>
          <w:p>
            <w:r/>
            <w:r>
              <w:t>Processeur</w:t>
            </w:r>
          </w:p>
        </w:tc>
        <w:tc>
          <w:tcPr>
            <w:tcW w:type="dxa" w:w="4535"/>
          </w:tcPr>
          <w:p>
            <w:r/>
            <w:r>
              <w:t>8 vCore</w:t>
            </w:r>
          </w:p>
        </w:tc>
      </w:tr>
      <w:tr>
        <w:tc>
          <w:tcPr>
            <w:tcW w:type="dxa" w:w="3969"/>
          </w:tcPr>
          <w:p>
            <w:r/>
            <w:r>
              <w:t>Mémoire</w:t>
            </w:r>
          </w:p>
        </w:tc>
        <w:tc>
          <w:tcPr>
            <w:tcW w:type="dxa" w:w="4535"/>
          </w:tcPr>
          <w:p>
            <w:pPr>
              <w:jc w:val="right"/>
            </w:pPr>
            <w:r/>
            <w:r>
              <w:t>24 Go</w:t>
            </w:r>
          </w:p>
        </w:tc>
      </w:tr>
      <w:tr>
        <w:tc>
          <w:tcPr>
            <w:tcW w:type="dxa" w:w="3969"/>
          </w:tcPr>
          <w:p>
            <w:r/>
            <w:r>
              <w:t>Stockage</w:t>
            </w:r>
          </w:p>
        </w:tc>
        <w:tc>
          <w:tcPr>
            <w:tcW w:type="dxa" w:w="4535"/>
          </w:tcPr>
          <w:p>
            <w:pPr>
              <w:jc w:val="right"/>
            </w:pPr>
            <w:r/>
            <w:r>
              <w:t>200 Go SSD NVMe</w:t>
            </w:r>
          </w:p>
        </w:tc>
      </w:tr>
      <w:tr>
        <w:tc>
          <w:tcPr>
            <w:tcW w:type="dxa" w:w="3969"/>
          </w:tcPr>
          <w:p>
            <w:r/>
            <w:r>
              <w:t>Réseau</w:t>
            </w:r>
          </w:p>
        </w:tc>
        <w:tc>
          <w:tcPr>
            <w:tcW w:type="dxa" w:w="4535"/>
          </w:tcPr>
          <w:p>
            <w:r/>
            <w:r>
              <w:t>3 Gbit/s illimité</w:t>
            </w:r>
          </w:p>
        </w:tc>
      </w:tr>
      <w:tr>
        <w:tc>
          <w:tcPr>
            <w:tcW w:type="dxa" w:w="3969"/>
          </w:tcPr>
          <w:p>
            <w:r/>
            <w:r>
              <w:t>Localisation</w:t>
            </w:r>
          </w:p>
        </w:tc>
        <w:tc>
          <w:tcPr>
            <w:tcW w:type="dxa" w:w="4535"/>
          </w:tcPr>
          <w:p>
            <w:r/>
            <w:r>
              <w:t>Europe — Royaume-Uni, Erith</w:t>
            </w:r>
          </w:p>
        </w:tc>
      </w:tr>
      <w:tr>
        <w:tc>
          <w:tcPr>
            <w:tcW w:type="dxa" w:w="3969"/>
            <w:shd w:val="clear" w:color="auto" w:fill="E4F1E8"/>
          </w:tcPr>
          <w:p>
            <w:r/>
            <w:r>
              <w:rPr>
                <w:b/>
              </w:rPr>
              <w:t>Sauvegarde quotidienne</w:t>
            </w:r>
          </w:p>
        </w:tc>
        <w:tc>
          <w:tcPr>
            <w:tcW w:type="dxa" w:w="4535"/>
            <w:shd w:val="clear" w:color="auto" w:fill="E4F1E8"/>
          </w:tcPr>
          <w:p>
            <w:r/>
            <w:r>
              <w:rPr>
                <w:b/>
              </w:rPr>
              <w:t>incluse</w:t>
            </w:r>
          </w:p>
        </w:tc>
      </w:tr>
      <w:tr>
        <w:tc>
          <w:tcPr>
            <w:tcW w:type="dxa" w:w="3969"/>
          </w:tcPr>
          <w:p>
            <w:r/>
            <w:r>
              <w:t>Système</w:t>
            </w:r>
          </w:p>
        </w:tc>
        <w:tc>
          <w:tcPr>
            <w:tcW w:type="dxa" w:w="4535"/>
          </w:tcPr>
          <w:p>
            <w:r/>
            <w:r>
              <w:t>Ubuntu 26.04</w:t>
            </w:r>
          </w:p>
        </w:tc>
      </w:tr>
    </w:tbl>
    <w:p/>
    <w:p>
      <w:r>
        <w:rPr>
          <w:b w:val="0"/>
          <w:i w:val="0"/>
        </w:rPr>
        <w:t>Erith a été préféré à Varsovie, au même tarif : les câbles sous-marins ouest-africains remontent vers l'Europe de l'Ouest et Londres est un point d'échange majeur du trafic africain.</w:t>
      </w:r>
    </w:p>
    <w:tbl>
      <w:tblPr>
        <w:tblStyle w:val="TableGrid"/>
        <w:tblW w:type="auto" w:w="0"/>
        <w:jc w:val="center"/>
        <w:tblLook w:firstColumn="1" w:firstRow="1" w:lastColumn="0" w:lastRow="0" w:noHBand="0" w:noVBand="1" w:val="04A0"/>
      </w:tblPr>
      <w:tblGrid>
        <w:gridCol w:w="4986"/>
        <w:gridCol w:w="4986"/>
      </w:tblGrid>
      <w:tr>
        <w:tc>
          <w:tcPr>
            <w:tcW w:type="dxa" w:w="5102"/>
            <w:shd w:val="clear" w:color="auto" w:fill="1B5E3B"/>
          </w:tcPr>
          <w:p>
            <w:r/>
            <w:r>
              <w:rPr>
                <w:b/>
                <w:color w:val="FFFFFF"/>
              </w:rPr>
              <w:t>Durée d'engagement</w:t>
            </w:r>
          </w:p>
        </w:tc>
        <w:tc>
          <w:tcPr>
            <w:tcW w:type="dxa" w:w="3402"/>
            <w:shd w:val="clear" w:color="auto" w:fill="1B5E3B"/>
          </w:tcPr>
          <w:p>
            <w:r/>
            <w:r>
              <w:rPr>
                <w:b/>
                <w:color w:val="FFFFFF"/>
              </w:rPr>
              <w:t>Prix HT / mois</w:t>
            </w:r>
          </w:p>
        </w:tc>
      </w:tr>
      <w:tr>
        <w:tc>
          <w:tcPr>
            <w:tcW w:type="dxa" w:w="5102"/>
          </w:tcPr>
          <w:p>
            <w:r/>
            <w:r>
              <w:t>Sans engagement</w:t>
            </w:r>
          </w:p>
        </w:tc>
        <w:tc>
          <w:tcPr>
            <w:tcW w:type="dxa" w:w="3402"/>
          </w:tcPr>
          <w:p>
            <w:pPr>
              <w:jc w:val="right"/>
            </w:pPr>
            <w:r/>
            <w:r>
              <w:t>≈ 23,48 € (estimé)</w:t>
            </w:r>
          </w:p>
        </w:tc>
      </w:tr>
      <w:tr>
        <w:tc>
          <w:tcPr>
            <w:tcW w:type="dxa" w:w="5102"/>
          </w:tcPr>
          <w:p>
            <w:r/>
            <w:r>
              <w:t>Six mois, −5 %</w:t>
            </w:r>
          </w:p>
        </w:tc>
        <w:tc>
          <w:tcPr>
            <w:tcW w:type="dxa" w:w="3402"/>
          </w:tcPr>
          <w:p>
            <w:pPr>
              <w:jc w:val="right"/>
            </w:pPr>
            <w:r/>
            <w:r>
              <w:t>≈ 22,31 € (estimé)</w:t>
            </w:r>
          </w:p>
        </w:tc>
      </w:tr>
      <w:tr>
        <w:tc>
          <w:tcPr>
            <w:tcW w:type="dxa" w:w="5102"/>
            <w:shd w:val="clear" w:color="auto" w:fill="E4F1E8"/>
          </w:tcPr>
          <w:p>
            <w:r/>
            <w:r>
              <w:rPr>
                <w:b/>
              </w:rPr>
              <w:t>Douze mois, −15 %</w:t>
            </w:r>
          </w:p>
        </w:tc>
        <w:tc>
          <w:tcPr>
            <w:tcW w:type="dxa" w:w="3402"/>
            <w:shd w:val="clear" w:color="auto" w:fill="E4F1E8"/>
          </w:tcPr>
          <w:p>
            <w:pPr>
              <w:jc w:val="right"/>
            </w:pPr>
            <w:r/>
            <w:r>
              <w:rPr>
                <w:b/>
              </w:rPr>
              <w:t>19,96 € (tarif publié)</w:t>
            </w:r>
          </w:p>
        </w:tc>
      </w:tr>
    </w:tbl>
    <w:p/>
    <w:p>
      <w:pPr>
        <w:pStyle w:val="Heading1"/>
      </w:pPr>
      <w:r>
        <w:rPr>
          <w:color w:val="1B5E3B"/>
        </w:rPr>
        <w:t>4. Stockage des photos</w:t>
      </w:r>
    </w:p>
    <w:p>
      <w:r>
        <w:rPr>
          <w:b w:val="0"/>
          <w:i w:val="0"/>
        </w:rPr>
        <w:t>Le service immobilier utilise le SDK S3 d'Amazon avec un point d'accès configurable : il vise l'Object Storage OVH sans modification du code métier. Classe Standard, facturée à l'heure au gigaoctet utilisé, sans minimum, trafic sortant et appels API gratuits.</w:t>
      </w:r>
    </w:p>
    <w:tbl>
      <w:tblPr>
        <w:tblStyle w:val="TableGrid"/>
        <w:tblW w:type="auto" w:w="0"/>
        <w:jc w:val="center"/>
        <w:tblLook w:firstColumn="1" w:firstRow="1" w:lastColumn="0" w:lastRow="0" w:noHBand="0" w:noVBand="1" w:val="04A0"/>
      </w:tblPr>
      <w:tblGrid>
        <w:gridCol w:w="3324"/>
        <w:gridCol w:w="3324"/>
        <w:gridCol w:w="3324"/>
      </w:tblGrid>
      <w:tr>
        <w:tc>
          <w:tcPr>
            <w:tcW w:type="dxa" w:w="3402"/>
            <w:shd w:val="clear" w:color="auto" w:fill="1B5E3B"/>
          </w:tcPr>
          <w:p>
            <w:r/>
            <w:r>
              <w:rPr>
                <w:b/>
                <w:color w:val="FFFFFF"/>
              </w:rPr>
              <w:t>Volume</w:t>
            </w:r>
          </w:p>
        </w:tc>
        <w:tc>
          <w:tcPr>
            <w:tcW w:type="dxa" w:w="2835"/>
            <w:shd w:val="clear" w:color="auto" w:fill="1B5E3B"/>
          </w:tcPr>
          <w:p>
            <w:r/>
            <w:r>
              <w:rPr>
                <w:b/>
                <w:color w:val="FFFFFF"/>
              </w:rPr>
              <w:t>Une zone</w:t>
            </w:r>
          </w:p>
        </w:tc>
        <w:tc>
          <w:tcPr>
            <w:tcW w:type="dxa" w:w="2835"/>
            <w:shd w:val="clear" w:color="auto" w:fill="1B5E3B"/>
          </w:tcPr>
          <w:p>
            <w:r/>
            <w:r>
              <w:rPr>
                <w:b/>
                <w:color w:val="FFFFFF"/>
              </w:rPr>
              <w:t>Trois zones (Paris)</w:t>
            </w:r>
          </w:p>
        </w:tc>
      </w:tr>
      <w:tr>
        <w:tc>
          <w:tcPr>
            <w:tcW w:type="dxa" w:w="3402"/>
            <w:shd w:val="clear" w:color="auto" w:fill="E4F1E8"/>
          </w:tcPr>
          <w:p>
            <w:r/>
            <w:r>
              <w:rPr>
                <w:b/>
              </w:rPr>
              <w:t>Aujourd'hui : 0 Go</w:t>
            </w:r>
          </w:p>
        </w:tc>
        <w:tc>
          <w:tcPr>
            <w:tcW w:type="dxa" w:w="2835"/>
            <w:shd w:val="clear" w:color="auto" w:fill="E4F1E8"/>
          </w:tcPr>
          <w:p>
            <w:pPr>
              <w:jc w:val="right"/>
            </w:pPr>
            <w:r/>
            <w:r>
              <w:rPr>
                <w:b/>
              </w:rPr>
              <w:t>0,00 €</w:t>
            </w:r>
          </w:p>
        </w:tc>
        <w:tc>
          <w:tcPr>
            <w:tcW w:type="dxa" w:w="2835"/>
            <w:shd w:val="clear" w:color="auto" w:fill="E4F1E8"/>
          </w:tcPr>
          <w:p>
            <w:pPr>
              <w:jc w:val="right"/>
            </w:pPr>
            <w:r/>
            <w:r>
              <w:rPr>
                <w:b/>
              </w:rPr>
              <w:t>0,00 €</w:t>
            </w:r>
          </w:p>
        </w:tc>
      </w:tr>
      <w:tr>
        <w:tc>
          <w:tcPr>
            <w:tcW w:type="dxa" w:w="3402"/>
          </w:tcPr>
          <w:p>
            <w:r/>
            <w:r>
              <w:t>50 Go</w:t>
            </w:r>
          </w:p>
        </w:tc>
        <w:tc>
          <w:tcPr>
            <w:tcW w:type="dxa" w:w="2835"/>
          </w:tcPr>
          <w:p>
            <w:pPr>
              <w:jc w:val="right"/>
            </w:pPr>
            <w:r/>
            <w:r>
              <w:t>0,35 €</w:t>
            </w:r>
          </w:p>
        </w:tc>
        <w:tc>
          <w:tcPr>
            <w:tcW w:type="dxa" w:w="2835"/>
          </w:tcPr>
          <w:p>
            <w:pPr>
              <w:jc w:val="right"/>
            </w:pPr>
            <w:r/>
            <w:r>
              <w:t>0,70 €</w:t>
            </w:r>
          </w:p>
        </w:tc>
      </w:tr>
      <w:tr>
        <w:tc>
          <w:tcPr>
            <w:tcW w:type="dxa" w:w="3402"/>
            <w:shd w:val="clear" w:color="auto" w:fill="E4F1E8"/>
          </w:tcPr>
          <w:p>
            <w:r/>
            <w:r>
              <w:rPr>
                <w:b/>
              </w:rPr>
              <w:t>100 Go</w:t>
            </w:r>
          </w:p>
        </w:tc>
        <w:tc>
          <w:tcPr>
            <w:tcW w:type="dxa" w:w="2835"/>
            <w:shd w:val="clear" w:color="auto" w:fill="E4F1E8"/>
          </w:tcPr>
          <w:p>
            <w:pPr>
              <w:jc w:val="right"/>
            </w:pPr>
            <w:r/>
            <w:r>
              <w:rPr>
                <w:b/>
              </w:rPr>
              <w:t>0,70 €</w:t>
            </w:r>
          </w:p>
        </w:tc>
        <w:tc>
          <w:tcPr>
            <w:tcW w:type="dxa" w:w="2835"/>
            <w:shd w:val="clear" w:color="auto" w:fill="E4F1E8"/>
          </w:tcPr>
          <w:p>
            <w:pPr>
              <w:jc w:val="right"/>
            </w:pPr>
            <w:r/>
            <w:r>
              <w:rPr>
                <w:b/>
              </w:rPr>
              <w:t>1,40 €</w:t>
            </w:r>
          </w:p>
        </w:tc>
      </w:tr>
      <w:tr>
        <w:tc>
          <w:tcPr>
            <w:tcW w:type="dxa" w:w="3402"/>
          </w:tcPr>
          <w:p>
            <w:r/>
            <w:r>
              <w:t>250 Go</w:t>
            </w:r>
          </w:p>
        </w:tc>
        <w:tc>
          <w:tcPr>
            <w:tcW w:type="dxa" w:w="2835"/>
          </w:tcPr>
          <w:p>
            <w:pPr>
              <w:jc w:val="right"/>
            </w:pPr>
            <w:r/>
            <w:r>
              <w:t>1,75 €</w:t>
            </w:r>
          </w:p>
        </w:tc>
        <w:tc>
          <w:tcPr>
            <w:tcW w:type="dxa" w:w="2835"/>
          </w:tcPr>
          <w:p>
            <w:pPr>
              <w:jc w:val="right"/>
            </w:pPr>
            <w:r/>
            <w:r>
              <w:t>3,50 €</w:t>
            </w:r>
          </w:p>
        </w:tc>
      </w:tr>
      <w:tr>
        <w:tc>
          <w:tcPr>
            <w:tcW w:type="dxa" w:w="3402"/>
          </w:tcPr>
          <w:p>
            <w:r/>
            <w:r>
              <w:t>500 Go</w:t>
            </w:r>
          </w:p>
        </w:tc>
        <w:tc>
          <w:tcPr>
            <w:tcW w:type="dxa" w:w="2835"/>
          </w:tcPr>
          <w:p>
            <w:pPr>
              <w:jc w:val="right"/>
            </w:pPr>
            <w:r/>
            <w:r>
              <w:t>3,50 €</w:t>
            </w:r>
          </w:p>
        </w:tc>
        <w:tc>
          <w:tcPr>
            <w:tcW w:type="dxa" w:w="2835"/>
          </w:tcPr>
          <w:p>
            <w:pPr>
              <w:jc w:val="right"/>
            </w:pPr>
            <w:r/>
            <w:r>
              <w:t>7,00 €</w:t>
            </w:r>
          </w:p>
        </w:tc>
      </w:tr>
    </w:tbl>
    <w:p/>
    <w:p>
      <w:r>
        <w:rPr>
          <w:b w:val="0"/>
          <w:i/>
        </w:rPr>
        <w:t>Les conteneurs sont vides à ce jour : le coût de départ est nul et croît avec les annonces publiées. La ligne de 1,40 € retenue au budget correspond à cent gigaoctets, soit plusieurs dizaines de milliers d'annonces. La réplication sur trois zones est retenue pour quelques dizaines de centimes.</w:t>
      </w:r>
    </w:p>
    <w:p>
      <w:pPr>
        <w:pStyle w:val="Heading1"/>
      </w:pPr>
      <w:r>
        <w:rPr>
          <w:color w:val="1B5E3B"/>
        </w:rPr>
        <w:t>5. Budget retenu</w:t>
      </w:r>
    </w:p>
    <w:p>
      <w:r>
        <w:rPr>
          <w:b w:val="0"/>
          <w:i/>
        </w:rPr>
        <w:t>Hypothèses : VPS-4 avec engagement de douze mois, Object Storage Standard trois zones à Paris pour cent gigaoctets, domaine synergia-guinee.com. Sauvegarde quotidienne incluse, aucune option payante.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154"/>
            <w:shd w:val="clear" w:color="auto" w:fill="1B5E3B"/>
          </w:tcPr>
          <w:p>
            <w:r/>
            <w:r>
              <w:rPr>
                <w:b/>
                <w:color w:val="FFFFFF"/>
              </w:rPr>
              <w:t>Poste</w:t>
            </w:r>
          </w:p>
        </w:tc>
        <w:tc>
          <w:tcPr>
            <w:tcW w:type="dxa" w:w="3118"/>
            <w:shd w:val="clear" w:color="auto" w:fill="1B5E3B"/>
          </w:tcPr>
          <w:p>
            <w:r/>
            <w:r>
              <w:rPr>
                <w:b/>
                <w:color w:val="FFFFFF"/>
              </w:rPr>
              <w:t>Détail</w:t>
            </w:r>
          </w:p>
        </w:tc>
        <w:tc>
          <w:tcPr>
            <w:tcW w:type="dxa" w:w="1814"/>
            <w:shd w:val="clear" w:color="auto" w:fill="1B5E3B"/>
          </w:tcPr>
          <w:p>
            <w:r/>
            <w:r>
              <w:rPr>
                <w:b/>
                <w:color w:val="FFFFFF"/>
              </w:rPr>
              <w:t>HT / mois</w:t>
            </w:r>
          </w:p>
        </w:tc>
        <w:tc>
          <w:tcPr>
            <w:tcW w:type="dxa" w:w="1814"/>
            <w:shd w:val="clear" w:color="auto" w:fill="1B5E3B"/>
          </w:tcPr>
          <w:p>
            <w:r/>
            <w:r>
              <w:rPr>
                <w:b/>
                <w:color w:val="FFFFFF"/>
              </w:rPr>
              <w:t>HT / an</w:t>
            </w:r>
          </w:p>
        </w:tc>
      </w:tr>
      <w:tr>
        <w:tc>
          <w:tcPr>
            <w:tcW w:type="dxa" w:w="2154"/>
          </w:tcPr>
          <w:p>
            <w:r/>
            <w:r>
              <w:t>Serveur</w:t>
            </w:r>
          </w:p>
        </w:tc>
        <w:tc>
          <w:tcPr>
            <w:tcW w:type="dxa" w:w="3118"/>
          </w:tcPr>
          <w:p>
            <w:pPr>
              <w:jc w:val="right"/>
            </w:pPr>
            <w:r/>
            <w:r>
              <w:t>VPS-4 : 8 vCore, 24 Go, 200 Go NVMe</w:t>
            </w:r>
          </w:p>
        </w:tc>
        <w:tc>
          <w:tcPr>
            <w:tcW w:type="dxa" w:w="1814"/>
          </w:tcPr>
          <w:p>
            <w:pPr>
              <w:jc w:val="right"/>
            </w:pPr>
            <w:r/>
            <w:r>
              <w:t>19,96 €</w:t>
            </w:r>
          </w:p>
        </w:tc>
        <w:tc>
          <w:tcPr>
            <w:tcW w:type="dxa" w:w="1814"/>
          </w:tcPr>
          <w:p>
            <w:pPr>
              <w:jc w:val="right"/>
            </w:pPr>
            <w:r/>
            <w:r>
              <w:t>239,52 €</w:t>
            </w:r>
          </w:p>
        </w:tc>
      </w:tr>
      <w:tr>
        <w:tc>
          <w:tcPr>
            <w:tcW w:type="dxa" w:w="2154"/>
          </w:tcPr>
          <w:p>
            <w:r/>
            <w:r>
              <w:t>Stockage objet</w:t>
            </w:r>
          </w:p>
        </w:tc>
        <w:tc>
          <w:tcPr>
            <w:tcW w:type="dxa" w:w="3118"/>
          </w:tcPr>
          <w:p>
            <w:pPr>
              <w:jc w:val="right"/>
            </w:pPr>
            <w:r/>
            <w:r>
              <w:t>100 Go, Standard, trois zones</w:t>
            </w:r>
          </w:p>
        </w:tc>
        <w:tc>
          <w:tcPr>
            <w:tcW w:type="dxa" w:w="1814"/>
          </w:tcPr>
          <w:p>
            <w:pPr>
              <w:jc w:val="right"/>
            </w:pPr>
            <w:r/>
            <w:r>
              <w:t>1,40 €</w:t>
            </w:r>
          </w:p>
        </w:tc>
        <w:tc>
          <w:tcPr>
            <w:tcW w:type="dxa" w:w="1814"/>
          </w:tcPr>
          <w:p>
            <w:pPr>
              <w:jc w:val="right"/>
            </w:pPr>
            <w:r/>
            <w:r>
              <w:t>16,80 €</w:t>
            </w:r>
          </w:p>
        </w:tc>
      </w:tr>
      <w:tr>
        <w:tc>
          <w:tcPr>
            <w:tcW w:type="dxa" w:w="2154"/>
          </w:tcPr>
          <w:p>
            <w:r/>
            <w:r>
              <w:t>Nom de domaine</w:t>
            </w:r>
          </w:p>
        </w:tc>
        <w:tc>
          <w:tcPr>
            <w:tcW w:type="dxa" w:w="3118"/>
          </w:tcPr>
          <w:p>
            <w:r/>
            <w:r>
              <w:t>synergia-guinee.com, .com annuel</w:t>
            </w:r>
          </w:p>
        </w:tc>
        <w:tc>
          <w:tcPr>
            <w:tcW w:type="dxa" w:w="1814"/>
          </w:tcPr>
          <w:p>
            <w:pPr>
              <w:jc w:val="right"/>
            </w:pPr>
            <w:r/>
            <w:r>
              <w:t>1,12 €</w:t>
            </w:r>
          </w:p>
        </w:tc>
        <w:tc>
          <w:tcPr>
            <w:tcW w:type="dxa" w:w="1814"/>
          </w:tcPr>
          <w:p>
            <w:pPr>
              <w:jc w:val="right"/>
            </w:pPr>
            <w:r/>
            <w:r>
              <w:t>13,49 €</w:t>
            </w:r>
          </w:p>
        </w:tc>
      </w:tr>
      <w:tr>
        <w:tc>
          <w:tcPr>
            <w:tcW w:type="dxa" w:w="2154"/>
            <w:shd w:val="clear" w:color="auto" w:fill="E4F1E8"/>
          </w:tcPr>
          <w:p>
            <w:r/>
            <w:r>
              <w:rPr>
                <w:b/>
              </w:rPr>
              <w:t>Total</w:t>
            </w:r>
          </w:p>
        </w:tc>
        <w:tc>
          <w:tcPr>
            <w:tcW w:type="dxa" w:w="3118"/>
            <w:shd w:val="clear" w:color="auto" w:fill="E4F1E8"/>
          </w:tcPr>
          <w:p>
            <w:r/>
            <w:r>
              <w:rPr>
                <w:b/>
              </w:rPr>
            </w:r>
          </w:p>
        </w:tc>
        <w:tc>
          <w:tcPr>
            <w:tcW w:type="dxa" w:w="1814"/>
            <w:shd w:val="clear" w:color="auto" w:fill="E4F1E8"/>
          </w:tcPr>
          <w:p>
            <w:pPr>
              <w:jc w:val="right"/>
            </w:pPr>
            <w:r/>
            <w:r>
              <w:rPr>
                <w:b/>
              </w:rPr>
              <w:t>22,48 €</w:t>
            </w:r>
          </w:p>
        </w:tc>
        <w:tc>
          <w:tcPr>
            <w:tcW w:type="dxa" w:w="1814"/>
            <w:shd w:val="clear" w:color="auto" w:fill="E4F1E8"/>
          </w:tcPr>
          <w:p>
            <w:pPr>
              <w:jc w:val="right"/>
            </w:pPr>
            <w:r/>
            <w:r>
              <w:rPr>
                <w:b/>
              </w:rPr>
              <w:t>269,81 €</w:t>
            </w:r>
          </w:p>
        </w:tc>
      </w:tr>
      <w:tr>
        <w:tc>
          <w:tcPr>
            <w:tcW w:type="dxa" w:w="2154"/>
            <w:shd w:val="clear" w:color="auto" w:fill="C9E4D2"/>
          </w:tcPr>
          <w:p>
            <w:r/>
            <w:r>
              <w:rPr>
                <w:b/>
                <w:color w:val="1B5E3B"/>
                <w:sz w:val="24"/>
              </w:rPr>
              <w:t>Enveloppe retenue</w:t>
            </w:r>
          </w:p>
        </w:tc>
        <w:tc>
          <w:tcPr>
            <w:tcW w:type="dxa" w:w="3118"/>
            <w:shd w:val="clear" w:color="auto" w:fill="C9E4D2"/>
          </w:tcPr>
          <w:p>
            <w:r/>
            <w:r>
              <w:rPr>
                <w:b/>
                <w:color w:val="1B5E3B"/>
                <w:sz w:val="24"/>
              </w:rPr>
              <w:t>provision incluse</w:t>
            </w:r>
          </w:p>
        </w:tc>
        <w:tc>
          <w:tcPr>
            <w:tcW w:type="dxa" w:w="1814"/>
            <w:shd w:val="clear" w:color="auto" w:fill="C9E4D2"/>
          </w:tcPr>
          <w:p>
            <w:r/>
            <w:r>
              <w:rPr>
                <w:b/>
                <w:color w:val="1B5E3B"/>
                <w:sz w:val="24"/>
              </w:rPr>
            </w:r>
          </w:p>
        </w:tc>
        <w:tc>
          <w:tcPr>
            <w:tcW w:type="dxa" w:w="1814"/>
            <w:shd w:val="clear" w:color="auto" w:fill="C9E4D2"/>
          </w:tcPr>
          <w:p>
            <w:pPr>
              <w:jc w:val="right"/>
            </w:pPr>
            <w:r/>
            <w:r>
              <w:rPr>
                <w:b/>
                <w:color w:val="1B5E3B"/>
                <w:sz w:val="24"/>
              </w:rPr>
              <w:t>490,00 €</w:t>
            </w:r>
          </w:p>
        </w:tc>
      </w:tr>
      <w:tr>
        <w:tc>
          <w:tcPr>
            <w:tcW w:type="dxa" w:w="2154"/>
            <w:shd w:val="clear" w:color="auto" w:fill="E4F1E8"/>
          </w:tcPr>
          <w:p>
            <w:r/>
            <w:r>
              <w:rPr>
                <w:b/>
              </w:rPr>
              <w:t>Marge disponible</w:t>
            </w:r>
          </w:p>
        </w:tc>
        <w:tc>
          <w:tcPr>
            <w:tcW w:type="dxa" w:w="3118"/>
            <w:shd w:val="clear" w:color="auto" w:fill="E4F1E8"/>
          </w:tcPr>
          <w:p>
            <w:r/>
            <w:r>
              <w:rPr>
                <w:b/>
              </w:rPr>
            </w:r>
          </w:p>
        </w:tc>
        <w:tc>
          <w:tcPr>
            <w:tcW w:type="dxa" w:w="1814"/>
            <w:shd w:val="clear" w:color="auto" w:fill="E4F1E8"/>
          </w:tcPr>
          <w:p>
            <w:r/>
            <w:r>
              <w:rPr>
                <w:b/>
              </w:rPr>
            </w:r>
          </w:p>
        </w:tc>
        <w:tc>
          <w:tcPr>
            <w:tcW w:type="dxa" w:w="1814"/>
            <w:shd w:val="clear" w:color="auto" w:fill="E4F1E8"/>
          </w:tcPr>
          <w:p>
            <w:pPr>
              <w:jc w:val="right"/>
            </w:pPr>
            <w:r/>
            <w:r>
              <w:rPr>
                <w:b/>
              </w:rPr>
              <w:t>220,19 €</w:t>
            </w:r>
          </w:p>
        </w:tc>
      </w:tr>
    </w:tbl>
    <w:p/>
    <w:p>
      <w:r>
        <w:rPr>
          <w:b w:val="0"/>
          <w:i w:val="0"/>
        </w:rPr>
        <w:t>Aucune TVA n'est à ajouter : les factures OVH vers la Guinée sont émises à 0 %, comme le confirme la facture de renouvellement de domaine du 16 septembre 2026. La provision couvre la croissance du volume de photos, les options ponctuelles, une hausse tarifaire en cours d'année et un éventuel passage à une gamme supérieure.</w:t>
      </w:r>
    </w:p>
    <w:p>
      <w:pPr>
        <w:pStyle w:val="Heading1"/>
      </w:pPr>
      <w:r>
        <w:rPr>
          <w:color w:val="1B5E3B"/>
        </w:rPr>
        <w:t>6. Ce qui reste à engager</w:t>
      </w:r>
    </w:p>
    <w:p>
      <w:pPr>
        <w:pStyle w:val="ListBullet"/>
      </w:pPr>
      <w:r>
        <w:t>Nom de domaine synergia-guinee.com, 13,49 € par an, indépendant du serveur.</w:t>
      </w:r>
    </w:p>
    <w:p>
      <w:pPr>
        <w:pStyle w:val="ListBullet"/>
      </w:pPr>
      <w:r>
        <w:t>Projet Public Cloud pour l'Object Storage, sans frais fixe, facturé à l'usage.</w:t>
      </w:r>
    </w:p>
    <w:p>
      <w:pPr>
        <w:pStyle w:val="ListBullet"/>
      </w:pPr>
      <w:r>
        <w:t>Rien d'autre : la sauvegarde est incluse et aucune option payante n'est nécessaire.</w:t>
      </w:r>
    </w:p>
    <w:p>
      <w:pPr>
        <w:pStyle w:val="Heading1"/>
      </w:pPr>
      <w:r>
        <w:rPr>
          <w:color w:val="1B5E3B"/>
        </w:rPr>
        <w:t>7. Sources</w:t>
      </w:r>
    </w:p>
    <w:p>
      <w:pPr>
        <w:pStyle w:val="ListBullet"/>
      </w:pPr>
      <w:r>
        <w:t xml:space="preserve">OVHcloud — page officielle des VPS — </w:t>
      </w:r>
      <w:hyperlink r:id="rId9">
        <w:r>
          <w:rPr>
            <w:color w:val="1B5E3B"/>
            <w:u w:val="single"/>
          </w:rPr>
          <w:t xml:space="preserve">https://www.ovhcloud.com/fr/vps/</w:t>
        </w:r>
      </w:hyperlink>
    </w:p>
    <w:p>
      <w:pPr>
        <w:pStyle w:val="ListBullet"/>
      </w:pPr>
      <w:r>
        <w:t xml:space="preserve">OVHcloud — gamme VPS et tarifs détaillés — </w:t>
      </w:r>
      <w:hyperlink r:id="rId10">
        <w:r>
          <w:rPr>
            <w:color w:val="1B5E3B"/>
            <w:u w:val="single"/>
          </w:rPr>
          <w:t xml:space="preserve">https://www.ovhcloud.com/fr/vps/unmetered-vps/</w:t>
        </w:r>
      </w:hyperlink>
    </w:p>
    <w:p>
      <w:pPr>
        <w:pStyle w:val="ListBullet"/>
      </w:pPr>
      <w:r>
        <w:t xml:space="preserve">OVHcloud — tarifs Public Cloud — </w:t>
      </w:r>
      <w:hyperlink r:id="rId11">
        <w:r>
          <w:rPr>
            <w:color w:val="1B5E3B"/>
            <w:u w:val="single"/>
          </w:rPr>
          <w:t xml:space="preserve">https://www.ovhcloud.com/fr/public-cloud/prices/</w:t>
        </w:r>
      </w:hyperlink>
    </w:p>
    <w:p>
      <w:pPr>
        <w:pStyle w:val="ListBullet"/>
      </w:pPr>
      <w:r>
        <w:t xml:space="preserve">OVHcloud — points d'accès S3 et régions — </w:t>
      </w:r>
      <w:hyperlink r:id="rId12">
        <w:r>
          <w:rPr>
            <w:color w:val="1B5E3B"/>
            <w:u w:val="single"/>
          </w:rPr>
          <w:t xml:space="preserve">https://docs.ovhcloud.com/en/guides/storage-and-backup/object-storage/s3-location</w:t>
        </w:r>
      </w:hyperlink>
    </w:p>
    <w:p>
      <w:pPr>
        <w:pStyle w:val="ListBullet"/>
      </w:pPr>
      <w:r>
        <w:t xml:space="preserve">OVHcloud — FAQ Object Storage — </w:t>
      </w:r>
      <w:hyperlink r:id="rId13">
        <w:r>
          <w:rPr>
            <w:color w:val="1B5E3B"/>
            <w:u w:val="single"/>
          </w:rPr>
          <w:t xml:space="preserve">https://docs.ovhcloud.com/en/guides/storage-and-backup/object-storage/s3-faq</w:t>
        </w:r>
      </w:hyperlink>
    </w:p>
    <w:p>
      <w:pPr>
        <w:pStyle w:val="ListBullet"/>
      </w:pPr>
      <w:r>
        <w:t xml:space="preserve">OVHcloud — tarif du .com — </w:t>
      </w:r>
      <w:hyperlink r:id="rId14">
        <w:r>
          <w:rPr>
            <w:color w:val="1B5E3B"/>
            <w:u w:val="single"/>
          </w:rPr>
          <w:t xml:space="preserve">https://www.ovhcloud.com/en/domains/tld/com/</w:t>
        </w:r>
      </w:hyperlink>
    </w:p>
    <w:p>
      <w:pPr>
        <w:pStyle w:val="ListBullet"/>
      </w:pPr>
      <w:r>
        <w:t xml:space="preserve">OVHcloud — augmenter les ressources d'un VPS — </w:t>
      </w:r>
      <w:hyperlink r:id="rId15">
        <w:r>
          <w:rPr>
            <w:color w:val="1B5E3B"/>
            <w:u w:val="single"/>
          </w:rPr>
          <w:t xml:space="preserve">https://docs.ovhcloud.com/en/guides/bare-metal-cloud/virtual-private-servers/upgrade-resources</w:t>
        </w:r>
      </w:hyperlink>
    </w:p>
    <w:p>
      <w:r>
        <w:rPr>
          <w:b w:val="0"/>
          <w:i/>
        </w:rPr>
        <w:t>Les tarifs OVHcloud évoluent ; les montants estimés pour les engagements courts sont dérivés du barème du VPS-3 et restent à confirmer dans le configurateur.</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vhcloud.com/fr/vps/" TargetMode="External"/><Relationship Id="rId10" Type="http://schemas.openxmlformats.org/officeDocument/2006/relationships/hyperlink" Target="https://www.ovhcloud.com/fr/vps/unmetered-vps/" TargetMode="External"/><Relationship Id="rId11" Type="http://schemas.openxmlformats.org/officeDocument/2006/relationships/hyperlink" Target="https://www.ovhcloud.com/fr/public-cloud/prices/" TargetMode="External"/><Relationship Id="rId12" Type="http://schemas.openxmlformats.org/officeDocument/2006/relationships/hyperlink" Target="https://docs.ovhcloud.com/en/guides/storage-and-backup/object-storage/s3-location" TargetMode="External"/><Relationship Id="rId13" Type="http://schemas.openxmlformats.org/officeDocument/2006/relationships/hyperlink" Target="https://docs.ovhcloud.com/en/guides/storage-and-backup/object-storage/s3-faq" TargetMode="External"/><Relationship Id="rId14" Type="http://schemas.openxmlformats.org/officeDocument/2006/relationships/hyperlink" Target="https://www.ovhcloud.com/en/domains/tld/com/" TargetMode="External"/><Relationship Id="rId15" Type="http://schemas.openxmlformats.org/officeDocument/2006/relationships/hyperlink" Target="https://docs.ovhcloud.com/en/guides/bare-metal-cloud/virtual-private-servers/upgrade-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