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37"/>
          <w:sz-cs w:val="37"/>
          <w:b/>
          <w:spacing w:val="0"/>
          <w:color w:val="141414"/>
        </w:rPr>
        <w:t xml:space="preserve">CRÉDIT RURAL DE GUINÉE S.A.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  <w:color w:val="434343"/>
        </w:rPr>
        <w:t xml:space="preserve">Direction des Systèmes d'Information</w:t>
      </w:r>
    </w:p>
    <w:p>
      <w:pPr>
        <w:spacing w:after="303"/>
      </w:pPr>
      <w:r>
        <w:rPr>
          <w:rFonts w:ascii="Arial" w:hAnsi="Arial" w:cs="Arial"/>
          <w:sz w:val="45"/>
          <w:sz-cs w:val="45"/>
          <w:b/>
          <w:spacing w:val="0"/>
          <w:color w:val="193C66"/>
        </w:rPr>
        <w:t xml:space="preserve">Note d'information — Engagement et Encours dans la déclaration à la centrale des risques BCRG</w:t>
      </w:r>
    </w:p>
    <w:p>
      <w:pPr>
        <w:spacing w:after="320"/>
      </w:pPr>
      <w:r>
        <w:rPr>
          <w:rFonts w:ascii="Arial" w:hAnsi="Arial" w:cs="Arial"/>
          <w:sz w:val="32"/>
          <w:sz-cs w:val="32"/>
          <w:i/>
          <w:spacing w:val="0"/>
          <w:color w:val="141414"/>
        </w:rPr>
        <w:t xml:space="preserve">À titre informatif — 17 août 2026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93C66"/>
        </w:rPr>
        <w:t xml:space="preserve">1. Qu'est-ce qu'un engagement ?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Dans le vocabulaire de la centrale des risques, un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engagement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est tout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contrat par lequel l'institution s'engage financièrement envers un client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. C'est l'unité de base de la déclaration : « qui doit quoi, à qui, dans quelles conditions ».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La réglementation distingue trois catégories d'engagements :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Catégorie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Nature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Exemple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01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Crédits amortissables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Prêt décaissé, remboursé par échéances (capital + intérêts)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Crédit classique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02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Crédits renouvelables / découverts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Autorisation dont le client tire selon ses besoins (agios)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Découvert en compte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03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Engagements par signature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Garantie donnée sans décaissement (paiement seulement si défaillance)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Caution, aval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Pour le CRG, la lecture est simple : chaque crédit accordé est un engagement de catégorie 01.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Le CRG ne pratique ni découverts ni engagements par signature. Dans notre système bancaire SAF2000, un engagement correspond à une ligne de crédit identifiée par son numéro (</w:t>
      </w:r>
      <w:r>
        <w:rPr>
          <w:rFonts w:ascii="Menlo" w:hAnsi="Menlo" w:cs="Menlo"/>
          <w:sz w:val="28"/>
          <w:sz-cs w:val="28"/>
          <w:spacing w:val="0"/>
          <w:color w:val="141414"/>
        </w:rPr>
        <w:t xml:space="preserve">RefIntEng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).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93C66"/>
        </w:rPr>
        <w:t xml:space="preserve">2. Qu'est-ce qu'un encours ?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Si l'engagement est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le contrat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, l'encours est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ce qu'il en reste à un instant donné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: la photographie chiffrée du crédit à une date d'arrêté (fin de mois pour la BCRG).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Une image simple 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l'engagement, c'est l'acte de prêt signé ; l'encours, c'est le relevé de situation de ce prêt au dernier jour du mois.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93C66"/>
        </w:rPr>
        <w:t xml:space="preserve">3. Exemple concret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Le 10 mars, le CRG accorde à un client un crédit de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10 000 000 GNF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sur 12 mois : c'est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l'engagement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, déclaré une fois au module M2 (montant, taux, durée, échéances, bénéficiaire).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À l'arrêté du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30 juin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, son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encours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(module M4) décrit sa position :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Élément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Valeur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Champ BCRG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Capital restant dû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7 200 000 GNF</w:t>
      </w:r>
    </w:p>
    <w:p>
      <w:pPr/>
      <w:r>
        <w:rPr>
          <w:rFonts w:ascii="Menlo" w:hAnsi="Menlo" w:cs="Menlo"/>
          <w:sz w:val="28"/>
          <w:sz-cs w:val="28"/>
          <w:spacing w:val="0"/>
          <w:color w:val="141414"/>
        </w:rPr>
        <w:t xml:space="preserve">MntCRDU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Montant décaissé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10 000 000 GNF</w:t>
      </w:r>
    </w:p>
    <w:p>
      <w:pPr/>
      <w:r>
        <w:rPr>
          <w:rFonts w:ascii="Menlo" w:hAnsi="Menlo" w:cs="Menlo"/>
          <w:sz w:val="28"/>
          <w:sz-cs w:val="28"/>
          <w:spacing w:val="0"/>
          <w:color w:val="141414"/>
        </w:rPr>
        <w:t xml:space="preserve">MntUtilise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Montant non encore décaissé (hors bilan)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0 GNF</w:t>
      </w:r>
    </w:p>
    <w:p>
      <w:pPr/>
      <w:r>
        <w:rPr>
          <w:rFonts w:ascii="Menlo" w:hAnsi="Menlo" w:cs="Menlo"/>
          <w:sz w:val="28"/>
          <w:sz-cs w:val="28"/>
          <w:spacing w:val="0"/>
          <w:color w:val="141414"/>
        </w:rPr>
        <w:t xml:space="preserve">MntHBil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Échéance impayée du 15 juin (capital + intérêts)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950 000 GNF</w:t>
      </w:r>
    </w:p>
    <w:p>
      <w:pPr/>
      <w:r>
        <w:rPr>
          <w:rFonts w:ascii="Menlo" w:hAnsi="Menlo" w:cs="Menlo"/>
          <w:sz w:val="28"/>
          <w:sz-cs w:val="28"/>
          <w:spacing w:val="0"/>
          <w:color w:val="141414"/>
        </w:rPr>
        <w:t xml:space="preserve">MntTotImp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En retard depuis le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15 juin</w:t>
      </w:r>
    </w:p>
    <w:p>
      <w:pPr/>
      <w:r>
        <w:rPr>
          <w:rFonts w:ascii="Menlo" w:hAnsi="Menlo" w:cs="Menlo"/>
          <w:sz w:val="28"/>
          <w:sz-cs w:val="28"/>
          <w:spacing w:val="0"/>
          <w:color w:val="141414"/>
        </w:rPr>
        <w:t xml:space="preserve">DatDefaill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Qualité de la créance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Retard inférieur à 90 jours</w:t>
      </w:r>
    </w:p>
    <w:p>
      <w:pPr/>
      <w:r>
        <w:rPr>
          <w:rFonts w:ascii="Menlo" w:hAnsi="Menlo" w:cs="Menlo"/>
          <w:sz w:val="28"/>
          <w:sz-cs w:val="28"/>
          <w:spacing w:val="0"/>
          <w:color w:val="141414"/>
        </w:rPr>
        <w:t xml:space="preserve">QualiCre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Un mois plus tard, l'engagement n'a pas changé — c'est toujours le même contrat — mais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l'encours de juillet sera différent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: le capital a baissé si le client a payé, l'impayé a grossi s'il n'a pas payé.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93C66"/>
        </w:rPr>
        <w:t xml:space="preserve">4. Articulation des modules M2 et M4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Module M2 — Engagements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Module M4 — Encours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Contenu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 contrat : conditions d'origine et cycle de vie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La position du contrat à la date d'arrêté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Fréquence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Une fois, puis à chaque événement (modification, clôture)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Chaque mois (fin d'arrêté)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En une phrase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« Voici le contrat »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« Voici où il en est ce mois-ci »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Règle BCRG appliquée par le CRG 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un engagement clôturé (crédit soldé) n'a plus d'encours — il est déclaré clôturé au module M2 (</w:t>
      </w:r>
      <w:r>
        <w:rPr>
          <w:rFonts w:ascii="Menlo" w:hAnsi="Menlo" w:cs="Menlo"/>
          <w:sz w:val="28"/>
          <w:sz-cs w:val="28"/>
          <w:spacing w:val="0"/>
          <w:color w:val="141414"/>
        </w:rPr>
        <w:t xml:space="preserve">Cloture = 1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) et disparaît du module M4.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93C66"/>
        </w:rPr>
        <w:t xml:space="preserve">5. À quoi sert l'encours pour la centrale des risques ?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C'est l'encours qui fait vivre le dispositif : il permet à la BCRG de connaître, chaque mois, </w:t>
      </w: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l'endettement réel et les impayés d'un client dans l'ensemble des institutions de microfinance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— et donc de renseigner toute institution consultée lorsque ce client sollicite un nouveau crédit ailleurs.</w:t>
      </w:r>
    </w:p>
    <w:p>
      <w:pPr/>
      <w:r>
        <w:rPr>
          <w:rFonts w:ascii="Arial" w:hAnsi="Arial" w:cs="Arial"/>
          <w:sz w:val="26"/>
          <w:sz-cs w:val="26"/>
          <w:spacing w:val="0"/>
          <w:color w:val="535353"/>
        </w:rPr>
        <w:t xml:space="preserve">Crédit Rural de Guinée S.A. — Direction des Systèmes d'Information · Note interne à titre informatif · Contact : salifou.doucoure@creditruralgn.com — +224 621 09 18 95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