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/>
        <w:jc w:val="center"/>
      </w:pPr>
      <w:r>
        <w:drawing>
          <wp:inline distT="0" distB="0" distL="0" distR="0">
            <wp:extent cx="3048000" cy="3048000"/>
            <wp:effectExtent t="0" r="0" b="0" l="0"/>
            <wp:docPr id="1" name="10-lockup-reversed.png" descr="10-lockup-reversed.png" title="10-lockup-revers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rPr>
          <w:rFonts w:ascii="Arial" w:cs="Arial" w:eastAsia="Arial" w:hAnsi="Arial"/>
          <w:b/>
          <w:bCs/>
          <w:color w:val="3A4723"/>
          <w:spacing w:val="120"/>
          <w:sz w:val="40"/>
          <w:szCs w:val="40"/>
        </w:rPr>
        <w:t xml:space="preserve">BRAND MANUAL</w:t>
      </w:r>
    </w:p>
    <w:p>
      <w:pPr>
        <w:spacing w:before="120"/>
        <w:jc w:val="center"/>
      </w:pPr>
      <w:r>
        <w:rPr>
          <w:rFonts w:ascii="Arial" w:cs="Arial" w:eastAsia="Arial" w:hAnsi="Arial"/>
          <w:color w:val="A4664A"/>
          <w:sz w:val="26"/>
          <w:szCs w:val="26"/>
        </w:rPr>
        <w:t xml:space="preserve">Doum Test Kitchen</w:t>
      </w:r>
    </w:p>
    <w:p>
      <w:pPr>
        <w:spacing w:before="60"/>
        <w:jc w:val="center"/>
      </w:pPr>
      <w:r>
        <w:rPr>
          <w:rFonts w:ascii="Arial" w:cs="Arial" w:eastAsia="Arial" w:hAnsi="Arial"/>
          <w:color w:val="6E665A"/>
          <w:spacing w:val="60"/>
          <w:sz w:val="20"/>
          <w:szCs w:val="20"/>
        </w:rPr>
        <w:t xml:space="preserve">Cairo · Egypt</w:t>
      </w:r>
    </w:p>
    <w:p>
      <w:pPr>
        <w:spacing w:before="1600"/>
        <w:jc w:val="center"/>
      </w:pPr>
      <w:r>
        <w:rPr>
          <w:rFonts w:ascii="Arial" w:cs="Arial" w:eastAsia="Arial" w:hAnsi="Arial"/>
          <w:color w:val="6E665A"/>
          <w:sz w:val="18"/>
          <w:szCs w:val="18"/>
        </w:rPr>
        <w:t xml:space="preserve">Version 1.0 ·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80"/>
      </w:pPr>
      <w:r>
        <w:rPr>
          <w:rFonts w:ascii="Arial" w:cs="Arial" w:eastAsia="Arial" w:hAnsi="Arial"/>
          <w:b/>
          <w:bCs/>
          <w:color w:val="3A4723"/>
          <w:sz w:val="36"/>
          <w:szCs w:val="36"/>
        </w:rPr>
        <w:t xml:space="preserve">1 · The Brand</w:t>
      </w:r>
    </w:p>
    <w:p>
      <w:pPr>
        <w:pBdr>
          <w:bottom w:val="single" w:color="4A5A2E" w:sz="6" w:space="1"/>
        </w:pBdr>
        <w:spacing w:after="200" w:before="60"/>
      </w:pPr>
      <w:r>
        <w:t xml:space="preserve"/>
      </w:r>
    </w:p>
    <w:p>
      <w:pPr>
        <w:spacing w:after="140" w:line="300"/>
      </w:pPr>
      <w:r>
        <w:rPr>
          <w:rFonts w:ascii="Arial" w:cs="Arial" w:eastAsia="Arial" w:hAnsi="Arial"/>
          <w:color w:val="2B2B26"/>
          <w:sz w:val="21"/>
          <w:szCs w:val="21"/>
        </w:rPr>
        <w:t xml:space="preserve">Doum Test Kitchen is a Cairo-based test kitchen built on curiosity, collaboration, and a deep respect for ingredients. We pair rigorous, laboratory-minded technique with the warmth of Egyptian heritage cooking.</w:t>
      </w:r>
    </w:p>
    <w:p>
      <w:pPr>
        <w:spacing w:after="140" w:line="300"/>
      </w:pPr>
      <w:r>
        <w:rPr>
          <w:rFonts w:ascii="Arial" w:cs="Arial" w:eastAsia="Arial" w:hAnsi="Arial"/>
          <w:color w:val="2B2B26"/>
          <w:sz w:val="21"/>
          <w:szCs w:val="21"/>
        </w:rPr>
        <w:t xml:space="preserve">Our promise is fine dining, made approachable — hearty, generous food rooted in memory, presented without pretension. This manual sets out how the brand looks and sounds so that every touchpoint feels unmistakably Doum.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A5A2E"/>
          <w:sz w:val="26"/>
          <w:szCs w:val="26"/>
        </w:rPr>
        <w:t xml:space="preserve">Brand idea</w:t>
      </w:r>
    </w:p>
    <w:p>
      <w:pPr>
        <w:spacing w:after="140" w:line="300"/>
      </w:pPr>
      <w:r>
        <w:rPr>
          <w:rFonts w:ascii="Arial" w:cs="Arial" w:eastAsia="Arial" w:hAnsi="Arial"/>
          <w:color w:val="2B2B26"/>
          <w:sz w:val="21"/>
          <w:szCs w:val="21"/>
        </w:rPr>
        <w:t xml:space="preserve">Where culinary science meets heritage.</w:t>
      </w:r>
    </w:p>
    <w:p>
      <w:r>
        <w:br w:type="page"/>
      </w:r>
    </w:p>
    <w:p>
      <w:pPr>
        <w:pStyle w:val="Heading1"/>
        <w:spacing w:after="120" w:before="80"/>
      </w:pPr>
      <w:r>
        <w:rPr>
          <w:rFonts w:ascii="Arial" w:cs="Arial" w:eastAsia="Arial" w:hAnsi="Arial"/>
          <w:b/>
          <w:bCs/>
          <w:color w:val="3A4723"/>
          <w:sz w:val="36"/>
          <w:szCs w:val="36"/>
        </w:rPr>
        <w:t xml:space="preserve">2 · The Logo</w:t>
      </w:r>
    </w:p>
    <w:p>
      <w:pPr>
        <w:pBdr>
          <w:bottom w:val="single" w:color="4A5A2E" w:sz="6" w:space="1"/>
        </w:pBdr>
        <w:spacing w:after="200" w:before="60"/>
      </w:pPr>
      <w:r>
        <w:t xml:space="preserve"/>
      </w:r>
    </w:p>
    <w:p>
      <w:pPr>
        <w:spacing w:after="140" w:line="300"/>
      </w:pPr>
      <w:r>
        <w:rPr>
          <w:rFonts w:ascii="Arial" w:cs="Arial" w:eastAsia="Arial" w:hAnsi="Arial"/>
          <w:color w:val="2B2B26"/>
          <w:sz w:val="21"/>
          <w:szCs w:val="21"/>
        </w:rPr>
        <w:t xml:space="preserve">The mark is a hand-drawn doum fruit — the fruit of the doum palm, native to Egypt. It is drawn loosely, in the spirit of an illustrator’s ink-and-wash sketch: a confident outline that sits slightly off-register from a soft terracotta wash, with gentle shading, a few skin speckles, and a small stem. The looseness is intentional; it signals a kitchen that is handmade, exploratory, and human.</w:t>
      </w:r>
    </w:p>
    <w:p>
      <w:pPr>
        <w:spacing w:after="80" w:before="120"/>
        <w:jc w:val="center"/>
      </w:pPr>
      <w:r>
        <w:drawing>
          <wp:inline distT="0" distB="0" distL="0" distR="0">
            <wp:extent cx="2381250" cy="2381250"/>
            <wp:effectExtent t="0" r="0" b="0" l="0"/>
            <wp:docPr id="1" name="09-lockup-primary.png" descr="09-lockup-primary.png" title="09-lockup-prim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E665A"/>
          <w:sz w:val="18"/>
          <w:szCs w:val="18"/>
        </w:rPr>
        <w:t xml:space="preserve">Primary lockup — fruit mark with the Amatic SC wordmark and Josefin Sans sub-label.</w:t>
      </w:r>
    </w:p>
    <w:p>
      <w:r>
        <w:br w:type="page"/>
      </w:r>
    </w:p>
    <w:p>
      <w:pPr>
        <w:pStyle w:val="Heading1"/>
        <w:spacing w:after="120" w:before="80"/>
      </w:pPr>
      <w:r>
        <w:rPr>
          <w:rFonts w:ascii="Arial" w:cs="Arial" w:eastAsia="Arial" w:hAnsi="Arial"/>
          <w:b/>
          <w:bCs/>
          <w:color w:val="3A4723"/>
          <w:sz w:val="36"/>
          <w:szCs w:val="36"/>
        </w:rPr>
        <w:t xml:space="preserve">3 · Logo Variations</w:t>
      </w:r>
    </w:p>
    <w:p>
      <w:pPr>
        <w:pBdr>
          <w:bottom w:val="single" w:color="4A5A2E" w:sz="6" w:space="1"/>
        </w:pBdr>
        <w:spacing w:after="200" w:before="60"/>
      </w:pPr>
      <w:r>
        <w:t xml:space="preserve"/>
      </w:r>
    </w:p>
    <w:p>
      <w:pPr>
        <w:spacing w:after="140" w:line="300"/>
      </w:pPr>
      <w:r>
        <w:rPr>
          <w:rFonts w:ascii="Arial" w:cs="Arial" w:eastAsia="Arial" w:hAnsi="Arial"/>
          <w:color w:val="2B2B26"/>
          <w:sz w:val="21"/>
          <w:szCs w:val="21"/>
        </w:rPr>
        <w:t xml:space="preserve">Use the version that gives the clearest contrast against its background. The badge and minimal marks exist for small and square placements.</w:t>
      </w:r>
    </w:p>
    <w:tbl>
      <w:tblPr>
        <w:tblW w:type="dxa" w:w="9360"/>
        <w:tblBorders>
          <w:top w:val="single" w:color="E5DECB" w:sz="4"/>
          <w:left w:val="single" w:color="E5DECB" w:sz="4"/>
          <w:bottom w:val="single" w:color="E5DECB" w:sz="4"/>
          <w:right w:val="single" w:color="E5DECB" w:sz="4"/>
          <w:insideH w:val="single" w:color="E5DECB" w:sz="4"/>
          <w:insideV w:val="single" w:color="E5DECB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01-primary.png" descr="01-primary.png" title="01-primar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3A4723"/>
                <w:sz w:val="20"/>
                <w:szCs w:val="20"/>
              </w:rPr>
              <w:t xml:space="preserve">Primary mark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6E665A"/>
                <w:sz w:val="18"/>
                <w:szCs w:val="18"/>
              </w:rPr>
              <w:t xml:space="preserve">Light backgrounds</w:t>
            </w:r>
          </w:p>
        </w:tc>
        <w:tc>
          <w:tcPr>
            <w:tcW w:type="dxa" w:w="4680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03-reversed-on-green.png" descr="03-reversed-on-green.png" title="03-reversed-on-gre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3A4723"/>
                <w:sz w:val="20"/>
                <w:szCs w:val="20"/>
              </w:rPr>
              <w:t xml:space="preserve">Reversed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6E665A"/>
                <w:sz w:val="18"/>
                <w:szCs w:val="18"/>
              </w:rPr>
              <w:t xml:space="preserve">Dark / green backgrounds</w:t>
            </w:r>
          </w:p>
        </w:tc>
      </w:tr>
      <w:tr>
        <w:tc>
          <w:tcPr>
            <w:tcW w:type="dxa" w:w="4680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04-badge.png" descr="04-badge.png" title="04-badg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3A4723"/>
                <w:sz w:val="20"/>
                <w:szCs w:val="20"/>
              </w:rPr>
              <w:t xml:space="preserve">Badge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6E665A"/>
                <w:sz w:val="18"/>
                <w:szCs w:val="18"/>
              </w:rPr>
              <w:t xml:space="preserve">Avatar · social · stamps</w:t>
            </w:r>
          </w:p>
        </w:tc>
        <w:tc>
          <w:tcPr>
            <w:tcW w:type="dxa" w:w="4680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05-minimal.png" descr="05-minimal.png" title="05-minim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3A4723"/>
                <w:sz w:val="20"/>
                <w:szCs w:val="20"/>
              </w:rPr>
              <w:t xml:space="preserve">Minimal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6E665A"/>
                <w:sz w:val="18"/>
                <w:szCs w:val="18"/>
              </w:rPr>
              <w:t xml:space="preserve">Favicon · tiny sizes</w:t>
            </w:r>
          </w:p>
        </w:tc>
      </w:tr>
      <w:tr>
        <w:tc>
          <w:tcPr>
            <w:tcW w:type="dxa" w:w="4680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drawing>
                <wp:inline distT="0" distB="0" distL="0" distR="0">
                  <wp:extent cx="1571625" cy="1571625"/>
                  <wp:effectExtent t="0" r="0" b="0" l="0"/>
                  <wp:docPr id="1" name="09-lockup-primary.png" descr="09-lockup-primary.png" title="09-lockup-primar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3A4723"/>
                <w:sz w:val="20"/>
                <w:szCs w:val="20"/>
              </w:rPr>
              <w:t xml:space="preserve">Lockup — light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6E665A"/>
                <w:sz w:val="18"/>
                <w:szCs w:val="18"/>
              </w:rPr>
              <w:t xml:space="preserve">Full logo on cream</w:t>
            </w:r>
          </w:p>
        </w:tc>
        <w:tc>
          <w:tcPr>
            <w:tcW w:type="dxa" w:w="4680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drawing>
                <wp:inline distT="0" distB="0" distL="0" distR="0">
                  <wp:extent cx="1571625" cy="1571625"/>
                  <wp:effectExtent t="0" r="0" b="0" l="0"/>
                  <wp:docPr id="1" name="10-lockup-reversed.png" descr="10-lockup-reversed.png" title="10-lockup-revers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3A4723"/>
                <w:sz w:val="20"/>
                <w:szCs w:val="20"/>
              </w:rPr>
              <w:t xml:space="preserve">Lockup — dark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6E665A"/>
                <w:sz w:val="18"/>
                <w:szCs w:val="18"/>
              </w:rPr>
              <w:t xml:space="preserve">Full logo on green</w:t>
            </w:r>
          </w:p>
        </w:tc>
      </w:tr>
    </w:tbl>
    <w:p>
      <w:r>
        <w:br w:type="page"/>
      </w:r>
    </w:p>
    <w:p>
      <w:pPr>
        <w:pStyle w:val="Heading1"/>
        <w:spacing w:after="120" w:before="80"/>
      </w:pPr>
      <w:r>
        <w:rPr>
          <w:rFonts w:ascii="Arial" w:cs="Arial" w:eastAsia="Arial" w:hAnsi="Arial"/>
          <w:b/>
          <w:bCs/>
          <w:color w:val="3A4723"/>
          <w:sz w:val="36"/>
          <w:szCs w:val="36"/>
        </w:rPr>
        <w:t xml:space="preserve">4 · Usage &amp; Clear Space</w:t>
      </w:r>
    </w:p>
    <w:p>
      <w:pPr>
        <w:pBdr>
          <w:bottom w:val="single" w:color="4A5A2E" w:sz="6" w:space="1"/>
        </w:pBdr>
        <w:spacing w:after="20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A5A2E"/>
          <w:sz w:val="26"/>
          <w:szCs w:val="26"/>
        </w:rPr>
        <w:t xml:space="preserve">Do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2B2B26"/>
          <w:sz w:val="21"/>
          <w:szCs w:val="21"/>
        </w:rPr>
        <w:t xml:space="preserve">Keep clear space around the logo equal to at least the height of the fruit’s stem on all sides.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2B2B26"/>
          <w:sz w:val="21"/>
          <w:szCs w:val="21"/>
        </w:rPr>
        <w:t xml:space="preserve">Use the reversed (cream-outline) mark on olive green or photography; use the primary (olive-outline) mark on cream and light surfaces.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2B2B26"/>
          <w:sz w:val="21"/>
          <w:szCs w:val="21"/>
        </w:rPr>
        <w:t xml:space="preserve">Reach for the badge on circular placements — social avatars, stickers, stamps — and the minimal mark for favicons.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A5A2E"/>
          <w:sz w:val="26"/>
          <w:szCs w:val="26"/>
        </w:rPr>
        <w:t xml:space="preserve">Don’t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2B2B26"/>
          <w:sz w:val="21"/>
          <w:szCs w:val="21"/>
        </w:rPr>
        <w:t xml:space="preserve">Don’t recolour the fruit outside the brand palette or add effects, gradients, or drop shadows.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2B2B26"/>
          <w:sz w:val="21"/>
          <w:szCs w:val="21"/>
        </w:rPr>
        <w:t xml:space="preserve">Don’t stretch, rotate, or outline the wordmark, and don’t place the olive-outline mark on a dark background where it disappears.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2B2B26"/>
          <w:sz w:val="21"/>
          <w:szCs w:val="21"/>
        </w:rPr>
        <w:t xml:space="preserve">Don’t reintroduce the old palm-sprout symbol — the doum fruit alone is the mark.</w:t>
      </w:r>
    </w:p>
    <w:p>
      <w:r>
        <w:br w:type="page"/>
      </w:r>
    </w:p>
    <w:p>
      <w:pPr>
        <w:pStyle w:val="Heading1"/>
        <w:spacing w:after="120" w:before="80"/>
      </w:pPr>
      <w:r>
        <w:rPr>
          <w:rFonts w:ascii="Arial" w:cs="Arial" w:eastAsia="Arial" w:hAnsi="Arial"/>
          <w:b/>
          <w:bCs/>
          <w:color w:val="3A4723"/>
          <w:sz w:val="36"/>
          <w:szCs w:val="36"/>
        </w:rPr>
        <w:t xml:space="preserve">5 · Colour Palette</w:t>
      </w:r>
    </w:p>
    <w:p>
      <w:pPr>
        <w:pBdr>
          <w:bottom w:val="single" w:color="4A5A2E" w:sz="6" w:space="1"/>
        </w:pBdr>
        <w:spacing w:after="200" w:before="60"/>
      </w:pPr>
      <w:r>
        <w:t xml:space="preserve"/>
      </w:r>
    </w:p>
    <w:p>
      <w:pPr>
        <w:spacing w:after="140" w:line="300"/>
      </w:pPr>
      <w:r>
        <w:rPr>
          <w:rFonts w:ascii="Arial" w:cs="Arial" w:eastAsia="Arial" w:hAnsi="Arial"/>
          <w:color w:val="2B2B26"/>
          <w:sz w:val="21"/>
          <w:szCs w:val="21"/>
        </w:rPr>
        <w:t xml:space="preserve">Four core colours carry the brand, supported by two secondary shades. Pair olive green with cream, and let terracotta do the accenting.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E5DECB" w:sz="4"/>
          <w:insideV w:val="none"/>
        </w:tblBorders>
      </w:tblPr>
      <w:tblGrid>
        <w:gridCol w:w="1500"/>
        <w:gridCol w:w="2200"/>
        <w:gridCol w:w="5660"/>
      </w:tblGrid>
      <w:tr>
        <w:tc>
          <w:tcPr>
            <w:tcW w:type="dxa" w:w="1500"/>
            <w:gridSpan w:val="1"/>
            <w:shd w:fill="4A5A2E" w:val="clear"/>
            <w:tcMar>
              <w:top w:type="dxa" w:w="260"/>
              <w:left w:type="dxa" w:w="120"/>
              <w:bottom w:type="dxa" w:w="260"/>
              <w:right w:type="dxa" w:w="120"/>
            </w:tcMar>
          </w:tcPr>
          <w:p/>
        </w:tc>
        <w:tc>
          <w:tcPr>
            <w:tcW w:type="dxa" w:w="2200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2B26"/>
                <w:sz w:val="21"/>
                <w:szCs w:val="21"/>
              </w:rPr>
              <w:t xml:space="preserve">Olive Green</w:t>
            </w:r>
          </w:p>
          <w:p>
            <w:r>
              <w:rPr>
                <w:rFonts w:ascii="Arial" w:cs="Arial" w:eastAsia="Arial" w:hAnsi="Arial"/>
                <w:color w:val="6E665A"/>
                <w:sz w:val="18"/>
                <w:szCs w:val="18"/>
              </w:rPr>
              <w:t xml:space="preserve">#4A5A2E</w:t>
            </w:r>
          </w:p>
        </w:tc>
        <w:tc>
          <w:tcPr>
            <w:tcW w:type="dxa" w:w="5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B2B26"/>
                <w:sz w:val="20"/>
                <w:szCs w:val="20"/>
              </w:rPr>
              <w:t xml:space="preserve">Primary brand colour — backgrounds, the Services section, headings.</w:t>
            </w:r>
          </w:p>
        </w:tc>
      </w:tr>
      <w:tr>
        <w:tc>
          <w:tcPr>
            <w:tcW w:type="dxa" w:w="1500"/>
            <w:gridSpan w:val="1"/>
            <w:shd w:fill="3A4723" w:val="clear"/>
            <w:tcMar>
              <w:top w:type="dxa" w:w="260"/>
              <w:left w:type="dxa" w:w="120"/>
              <w:bottom w:type="dxa" w:w="260"/>
              <w:right w:type="dxa" w:w="120"/>
            </w:tcMar>
          </w:tcPr>
          <w:p/>
        </w:tc>
        <w:tc>
          <w:tcPr>
            <w:tcW w:type="dxa" w:w="2200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2B26"/>
                <w:sz w:val="21"/>
                <w:szCs w:val="21"/>
              </w:rPr>
              <w:t xml:space="preserve">Deep Olive</w:t>
            </w:r>
          </w:p>
          <w:p>
            <w:r>
              <w:rPr>
                <w:rFonts w:ascii="Arial" w:cs="Arial" w:eastAsia="Arial" w:hAnsi="Arial"/>
                <w:color w:val="6E665A"/>
                <w:sz w:val="18"/>
                <w:szCs w:val="18"/>
              </w:rPr>
              <w:t xml:space="preserve">#3A4723</w:t>
            </w:r>
          </w:p>
        </w:tc>
        <w:tc>
          <w:tcPr>
            <w:tcW w:type="dxa" w:w="5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B2B26"/>
                <w:sz w:val="20"/>
                <w:szCs w:val="20"/>
              </w:rPr>
              <w:t xml:space="preserve">Logo outline, footers, deepest shade for contrast.</w:t>
            </w:r>
          </w:p>
        </w:tc>
      </w:tr>
      <w:tr>
        <w:tc>
          <w:tcPr>
            <w:tcW w:type="dxa" w:w="1500"/>
            <w:gridSpan w:val="1"/>
            <w:shd w:fill="EDE5D0" w:val="clear"/>
            <w:tcMar>
              <w:top w:type="dxa" w:w="260"/>
              <w:left w:type="dxa" w:w="120"/>
              <w:bottom w:type="dxa" w:w="260"/>
              <w:right w:type="dxa" w:w="120"/>
            </w:tcMar>
          </w:tcPr>
          <w:p/>
        </w:tc>
        <w:tc>
          <w:tcPr>
            <w:tcW w:type="dxa" w:w="2200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2B26"/>
                <w:sz w:val="21"/>
                <w:szCs w:val="21"/>
              </w:rPr>
              <w:t xml:space="preserve">Cream</w:t>
            </w:r>
          </w:p>
          <w:p>
            <w:r>
              <w:rPr>
                <w:rFonts w:ascii="Arial" w:cs="Arial" w:eastAsia="Arial" w:hAnsi="Arial"/>
                <w:color w:val="6E665A"/>
                <w:sz w:val="18"/>
                <w:szCs w:val="18"/>
              </w:rPr>
              <w:t xml:space="preserve">#EDE5D0</w:t>
            </w:r>
          </w:p>
        </w:tc>
        <w:tc>
          <w:tcPr>
            <w:tcW w:type="dxa" w:w="5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B2B26"/>
                <w:sz w:val="20"/>
                <w:szCs w:val="20"/>
              </w:rPr>
              <w:t xml:space="preserve">Primary surface and reversed type on dark backgrounds.</w:t>
            </w:r>
          </w:p>
        </w:tc>
      </w:tr>
      <w:tr>
        <w:tc>
          <w:tcPr>
            <w:tcW w:type="dxa" w:w="1500"/>
            <w:gridSpan w:val="1"/>
            <w:shd w:fill="A4664A" w:val="clear"/>
            <w:tcMar>
              <w:top w:type="dxa" w:w="260"/>
              <w:left w:type="dxa" w:w="120"/>
              <w:bottom w:type="dxa" w:w="260"/>
              <w:right w:type="dxa" w:w="120"/>
            </w:tcMar>
          </w:tcPr>
          <w:p/>
        </w:tc>
        <w:tc>
          <w:tcPr>
            <w:tcW w:type="dxa" w:w="2200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2B26"/>
                <w:sz w:val="21"/>
                <w:szCs w:val="21"/>
              </w:rPr>
              <w:t xml:space="preserve">Terracotta</w:t>
            </w:r>
          </w:p>
          <w:p>
            <w:r>
              <w:rPr>
                <w:rFonts w:ascii="Arial" w:cs="Arial" w:eastAsia="Arial" w:hAnsi="Arial"/>
                <w:color w:val="6E665A"/>
                <w:sz w:val="18"/>
                <w:szCs w:val="18"/>
              </w:rPr>
              <w:t xml:space="preserve">#A4664A</w:t>
            </w:r>
          </w:p>
        </w:tc>
        <w:tc>
          <w:tcPr>
            <w:tcW w:type="dxa" w:w="5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B2B26"/>
                <w:sz w:val="20"/>
                <w:szCs w:val="20"/>
              </w:rPr>
              <w:t xml:space="preserve">Accent — the doum fruit, labels, dividers, call-to-action highlights.</w:t>
            </w:r>
          </w:p>
        </w:tc>
      </w:tr>
      <w:tr>
        <w:tc>
          <w:tcPr>
            <w:tcW w:type="dxa" w:w="1500"/>
            <w:gridSpan w:val="1"/>
            <w:shd w:fill="5C7139" w:val="clear"/>
            <w:tcMar>
              <w:top w:type="dxa" w:w="260"/>
              <w:left w:type="dxa" w:w="120"/>
              <w:bottom w:type="dxa" w:w="260"/>
              <w:right w:type="dxa" w:w="120"/>
            </w:tcMar>
          </w:tcPr>
          <w:p/>
        </w:tc>
        <w:tc>
          <w:tcPr>
            <w:tcW w:type="dxa" w:w="2200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2B26"/>
                <w:sz w:val="21"/>
                <w:szCs w:val="21"/>
              </w:rPr>
              <w:t xml:space="preserve">Mid Olive</w:t>
            </w:r>
          </w:p>
          <w:p>
            <w:r>
              <w:rPr>
                <w:rFonts w:ascii="Arial" w:cs="Arial" w:eastAsia="Arial" w:hAnsi="Arial"/>
                <w:color w:val="6E665A"/>
                <w:sz w:val="18"/>
                <w:szCs w:val="18"/>
              </w:rPr>
              <w:t xml:space="preserve">#5C7139</w:t>
            </w:r>
          </w:p>
        </w:tc>
        <w:tc>
          <w:tcPr>
            <w:tcW w:type="dxa" w:w="5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B2B26"/>
                <w:sz w:val="20"/>
                <w:szCs w:val="20"/>
              </w:rPr>
              <w:t xml:space="preserve">Secondary green for hover states and subtle layering.</w:t>
            </w:r>
          </w:p>
        </w:tc>
      </w:tr>
      <w:tr>
        <w:tc>
          <w:tcPr>
            <w:tcW w:type="dxa" w:w="1500"/>
            <w:gridSpan w:val="1"/>
            <w:shd w:fill="DDD3B8" w:val="clear"/>
            <w:tcMar>
              <w:top w:type="dxa" w:w="260"/>
              <w:left w:type="dxa" w:w="120"/>
              <w:bottom w:type="dxa" w:w="260"/>
              <w:right w:type="dxa" w:w="120"/>
            </w:tcMar>
          </w:tcPr>
          <w:p/>
        </w:tc>
        <w:tc>
          <w:tcPr>
            <w:tcW w:type="dxa" w:w="2200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2B26"/>
                <w:sz w:val="21"/>
                <w:szCs w:val="21"/>
              </w:rPr>
              <w:t xml:space="preserve">Cream Dark</w:t>
            </w:r>
          </w:p>
          <w:p>
            <w:r>
              <w:rPr>
                <w:rFonts w:ascii="Arial" w:cs="Arial" w:eastAsia="Arial" w:hAnsi="Arial"/>
                <w:color w:val="6E665A"/>
                <w:sz w:val="18"/>
                <w:szCs w:val="18"/>
              </w:rPr>
              <w:t xml:space="preserve">#DDD3B8</w:t>
            </w:r>
          </w:p>
        </w:tc>
        <w:tc>
          <w:tcPr>
            <w:tcW w:type="dxa" w:w="5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B2B26"/>
                <w:sz w:val="20"/>
                <w:szCs w:val="20"/>
              </w:rPr>
              <w:t xml:space="preserve">Secondary surface, sheen highlights, soft borders.</w:t>
            </w:r>
          </w:p>
        </w:tc>
      </w:tr>
    </w:tbl>
    <w:p>
      <w:r>
        <w:br w:type="page"/>
      </w:r>
    </w:p>
    <w:p>
      <w:pPr>
        <w:pStyle w:val="Heading1"/>
        <w:spacing w:after="120" w:before="80"/>
      </w:pPr>
      <w:r>
        <w:rPr>
          <w:rFonts w:ascii="Arial" w:cs="Arial" w:eastAsia="Arial" w:hAnsi="Arial"/>
          <w:b/>
          <w:bCs/>
          <w:color w:val="3A4723"/>
          <w:sz w:val="36"/>
          <w:szCs w:val="36"/>
        </w:rPr>
        <w:t xml:space="preserve">6 · Typography</w:t>
      </w:r>
    </w:p>
    <w:p>
      <w:pPr>
        <w:pBdr>
          <w:bottom w:val="single" w:color="4A5A2E" w:sz="6" w:space="1"/>
        </w:pBdr>
        <w:spacing w:after="20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A5A2E"/>
          <w:sz w:val="26"/>
          <w:szCs w:val="26"/>
        </w:rPr>
        <w:t xml:space="preserve">Amatic SC — Display &amp; wordmark</w:t>
      </w:r>
    </w:p>
    <w:p>
      <w:pPr>
        <w:spacing w:after="140" w:line="300"/>
      </w:pPr>
      <w:r>
        <w:rPr>
          <w:rFonts w:ascii="Arial" w:cs="Arial" w:eastAsia="Arial" w:hAnsi="Arial"/>
          <w:color w:val="2B2B26"/>
          <w:sz w:val="21"/>
          <w:szCs w:val="21"/>
        </w:rPr>
        <w:t xml:space="preserve">The hand-drawn display face used for “DOUM” and large headlines. It carries the same warm, handmade quality as the fruit mark. Use Bold weight for the wordmark.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A5A2E"/>
          <w:sz w:val="26"/>
          <w:szCs w:val="26"/>
        </w:rPr>
        <w:t xml:space="preserve">Josefin Sans — Labels &amp; body</w:t>
      </w:r>
    </w:p>
    <w:p>
      <w:pPr>
        <w:spacing w:after="140" w:line="300"/>
      </w:pPr>
      <w:r>
        <w:rPr>
          <w:rFonts w:ascii="Arial" w:cs="Arial" w:eastAsia="Arial" w:hAnsi="Arial"/>
          <w:color w:val="2B2B26"/>
          <w:sz w:val="21"/>
          <w:szCs w:val="21"/>
        </w:rPr>
        <w:t xml:space="preserve">A clean geometric sans for sub-labels, navigation, captions, and running text. Use generous letter-spacing in uppercase for small labels such as “TEST KITCHEN”.</w:t>
      </w:r>
    </w:p>
    <w:p>
      <w:pPr>
        <w:spacing w:after="140" w:line="300"/>
      </w:pPr>
      <w:r>
        <w:rPr>
          <w:rFonts w:ascii="Arial" w:cs="Arial" w:eastAsia="Arial" w:hAnsi="Arial"/>
          <w:i/>
          <w:iCs/>
          <w:color w:val="6E665A"/>
          <w:sz w:val="19"/>
          <w:szCs w:val="19"/>
        </w:rPr>
        <w:t xml:space="preserve">Both are free Google Fonts, keeping the brand easy to apply across web and print.</w:t>
      </w:r>
    </w:p>
    <w:p>
      <w:r>
        <w:br w:type="page"/>
      </w:r>
    </w:p>
    <w:p>
      <w:pPr>
        <w:pStyle w:val="Heading1"/>
        <w:spacing w:after="120" w:before="80"/>
      </w:pPr>
      <w:r>
        <w:rPr>
          <w:rFonts w:ascii="Arial" w:cs="Arial" w:eastAsia="Arial" w:hAnsi="Arial"/>
          <w:b/>
          <w:bCs/>
          <w:color w:val="3A4723"/>
          <w:sz w:val="36"/>
          <w:szCs w:val="36"/>
        </w:rPr>
        <w:t xml:space="preserve">7 · Contact</w:t>
      </w:r>
    </w:p>
    <w:p>
      <w:pPr>
        <w:pBdr>
          <w:bottom w:val="single" w:color="4A5A2E" w:sz="6" w:space="1"/>
        </w:pBdr>
        <w:spacing w:after="20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A4664A"/>
          <w:spacing w:val="60"/>
          <w:sz w:val="17"/>
          <w:szCs w:val="17"/>
        </w:rPr>
        <w:t xml:space="preserve">EMAIL</w:t>
      </w:r>
    </w:p>
    <w:p>
      <w:pPr>
        <w:spacing w:after="140" w:line="300"/>
      </w:pPr>
      <w:r>
        <w:rPr>
          <w:rFonts w:ascii="Arial" w:cs="Arial" w:eastAsia="Arial" w:hAnsi="Arial"/>
          <w:color w:val="2B2B26"/>
          <w:sz w:val="21"/>
          <w:szCs w:val="21"/>
        </w:rPr>
        <w:t xml:space="preserve">doumtestkitchen@gmail.com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A4664A"/>
          <w:spacing w:val="60"/>
          <w:sz w:val="17"/>
          <w:szCs w:val="17"/>
        </w:rPr>
        <w:t xml:space="preserve">PHONE</w:t>
      </w:r>
    </w:p>
    <w:p>
      <w:pPr>
        <w:spacing w:after="140" w:line="300"/>
      </w:pPr>
      <w:r>
        <w:rPr>
          <w:rFonts w:ascii="Arial" w:cs="Arial" w:eastAsia="Arial" w:hAnsi="Arial"/>
          <w:color w:val="2B2B26"/>
          <w:sz w:val="21"/>
          <w:szCs w:val="21"/>
        </w:rPr>
        <w:t xml:space="preserve">+20 102 255 9335</w:t>
      </w:r>
    </w:p>
    <w:p>
      <w:pPr>
        <w:spacing w:after="140" w:line="300"/>
      </w:pPr>
      <w:r>
        <w:rPr>
          <w:rFonts w:ascii="Arial" w:cs="Arial" w:eastAsia="Arial" w:hAnsi="Arial"/>
          <w:color w:val="2B2B26"/>
          <w:sz w:val="21"/>
          <w:szCs w:val="21"/>
        </w:rPr>
        <w:t xml:space="preserve">+20 111 600 2086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A4664A"/>
          <w:spacing w:val="60"/>
          <w:sz w:val="17"/>
          <w:szCs w:val="17"/>
        </w:rPr>
        <w:t xml:space="preserve">LOCATION</w:t>
      </w:r>
    </w:p>
    <w:p>
      <w:pPr>
        <w:spacing w:after="140" w:line="300"/>
      </w:pPr>
      <w:r>
        <w:rPr>
          <w:rFonts w:ascii="Arial" w:cs="Arial" w:eastAsia="Arial" w:hAnsi="Arial"/>
          <w:color w:val="2B2B26"/>
          <w:sz w:val="21"/>
          <w:szCs w:val="21"/>
        </w:rPr>
        <w:t xml:space="preserve">Cairo, Egypt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A4664A"/>
          <w:spacing w:val="60"/>
          <w:sz w:val="17"/>
          <w:szCs w:val="17"/>
        </w:rPr>
        <w:t xml:space="preserve">WEB</w:t>
      </w:r>
    </w:p>
    <w:p>
      <w:pPr>
        <w:spacing w:after="140" w:line="300"/>
      </w:pPr>
      <w:r>
        <w:rPr>
          <w:rFonts w:ascii="Arial" w:cs="Arial" w:eastAsia="Arial" w:hAnsi="Arial"/>
          <w:color w:val="2B2B26"/>
          <w:sz w:val="21"/>
          <w:szCs w:val="21"/>
        </w:rPr>
        <w:t xml:space="preserve">doum-kitchen.github.io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A4664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a257d1c367f890f254d0dcc76d390b9896a5a8.png"/><Relationship Id="rId8" Type="http://schemas.openxmlformats.org/officeDocument/2006/relationships/image" Target="media/40c98c746433862a8a89e4350f5e2183d7ff6891.png"/><Relationship Id="rId9" Type="http://schemas.openxmlformats.org/officeDocument/2006/relationships/image" Target="media/0fea7103823400588be632601c305123e912b2ac.png"/><Relationship Id="rId10" Type="http://schemas.openxmlformats.org/officeDocument/2006/relationships/image" Target="media/6e22c668078c850202b1500be1e83e8346227d40.png"/><Relationship Id="rId11" Type="http://schemas.openxmlformats.org/officeDocument/2006/relationships/image" Target="media/040f2e602a58a8a19e058922f4c3dce6205aeacf.png"/><Relationship Id="rId12" Type="http://schemas.openxmlformats.org/officeDocument/2006/relationships/image" Target="media/af2811204636329f60f64c06d5fd84477748ce9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2026-06-25T17:42:52.797Z</dcterms:created>
  <dcterms:modified xsi:type="dcterms:W3CDTF">2026-06-25T17:42:52.804Z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