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Aptos" w:hAnsi="Aptos" w:eastAsia="Aptos"/>
          <w:b/>
          <w:color w:val="C8102E"/>
          <w:sz w:val="36"/>
        </w:rPr>
        <w:t>FIAP</w:t>
      </w:r>
    </w:p>
    <w:p>
      <w:pPr>
        <w:spacing w:before="760" w:after="100"/>
        <w:jc w:val="center"/>
      </w:pPr>
      <w:r>
        <w:rPr>
          <w:rFonts w:ascii="Aptos" w:hAnsi="Aptos" w:eastAsia="Aptos"/>
          <w:b/>
          <w:color w:val="242424"/>
          <w:sz w:val="60"/>
        </w:rPr>
        <w:t>CHECKPOINT 5</w:t>
      </w:r>
    </w:p>
    <w:p>
      <w:pPr>
        <w:spacing w:after="160"/>
        <w:jc w:val="center"/>
      </w:pPr>
      <w:r>
        <w:rPr>
          <w:rFonts w:ascii="Aptos" w:hAnsi="Aptos" w:eastAsia="Aptos"/>
          <w:b/>
          <w:color w:val="C8102E"/>
          <w:sz w:val="38"/>
        </w:rPr>
        <w:t>TRANSAÇÕES LOCAIS EM C#</w:t>
      </w:r>
    </w:p>
    <w:p>
      <w:pPr>
        <w:jc w:val="center"/>
      </w:pPr>
      <w:r>
        <w:rPr>
          <w:rFonts w:ascii="Aptos" w:hAnsi="Aptos" w:eastAsia="Aptos"/>
          <w:b/>
          <w:color w:val="666666"/>
          <w:sz w:val="30"/>
        </w:rPr>
        <w:t>SQL Server + Oracle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336"/>
      </w:tblGrid>
      <w:tr>
        <w:trPr>
          <w:cantSplit w:val="true"/>
        </w:trPr>
        <w:tc>
          <w:tcPr>
            <w:tcW w:type="dxa" w:w="5040"/>
            <w:shd w:fill="F4F5F7"/>
            <w:tcBorders>
              <w:top w:val="single" w:sz="4" w:color="D7DADF"/>
              <w:left w:val="single" w:sz="4" w:color="D7DADF"/>
              <w:bottom w:val="single" w:sz="4" w:color="D7DADF"/>
              <w:right w:val="single" w:sz="4" w:color="D7DADF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242424"/>
                <w:sz w:val="20"/>
              </w:rPr>
              <w:t>Disciplina</w:t>
            </w:r>
          </w:p>
        </w:tc>
        <w:tc>
          <w:tcPr>
            <w:tcW w:type="dxa" w:w="5040"/>
            <w:shd w:fill="FFFFFF"/>
            <w:tcBorders>
              <w:top w:val="single" w:sz="4" w:color="D7DADF"/>
              <w:left w:val="single" w:sz="4" w:color="D7DADF"/>
              <w:bottom w:val="single" w:sz="4" w:color="D7DADF"/>
              <w:right w:val="single" w:sz="4" w:color="D7DADF"/>
            </w:tcBorders>
            <w:vAlign w:val="center"/>
          </w:tcPr>
          <w:p>
            <w:r>
              <w:rPr>
                <w:rFonts w:ascii="Aptos" w:hAnsi="Aptos" w:eastAsia="Aptos"/>
                <w:b w:val="0"/>
                <w:color w:val="242424"/>
                <w:sz w:val="20"/>
              </w:rPr>
              <w:t>C# Software Development</w:t>
            </w:r>
          </w:p>
        </w:tc>
      </w:tr>
      <w:tr>
        <w:trPr>
          <w:cantSplit w:val="true"/>
        </w:trPr>
        <w:tc>
          <w:tcPr>
            <w:tcW w:type="dxa" w:w="5040"/>
            <w:shd w:fill="F4F5F7"/>
            <w:tcBorders>
              <w:top w:val="single" w:sz="4" w:color="D7DADF"/>
              <w:left w:val="single" w:sz="4" w:color="D7DADF"/>
              <w:bottom w:val="single" w:sz="4" w:color="D7DADF"/>
              <w:right w:val="single" w:sz="4" w:color="D7DADF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242424"/>
                <w:sz w:val="20"/>
              </w:rPr>
              <w:t>Turma</w:t>
            </w:r>
          </w:p>
        </w:tc>
        <w:tc>
          <w:tcPr>
            <w:tcW w:type="dxa" w:w="5040"/>
            <w:shd w:fill="FFFFFF"/>
            <w:tcBorders>
              <w:top w:val="single" w:sz="4" w:color="D7DADF"/>
              <w:left w:val="single" w:sz="4" w:color="D7DADF"/>
              <w:bottom w:val="single" w:sz="4" w:color="D7DADF"/>
              <w:right w:val="single" w:sz="4" w:color="D7DADF"/>
            </w:tcBorders>
            <w:vAlign w:val="center"/>
          </w:tcPr>
          <w:p>
            <w:r>
              <w:rPr>
                <w:rFonts w:ascii="Aptos" w:hAnsi="Aptos" w:eastAsia="Aptos"/>
                <w:b w:val="0"/>
                <w:color w:val="242424"/>
                <w:sz w:val="20"/>
              </w:rPr>
              <w:t>3ESPH-2026</w:t>
            </w:r>
          </w:p>
        </w:tc>
      </w:tr>
      <w:tr>
        <w:trPr>
          <w:cantSplit w:val="true"/>
        </w:trPr>
        <w:tc>
          <w:tcPr>
            <w:tcW w:type="dxa" w:w="5040"/>
            <w:shd w:fill="F4F5F7"/>
            <w:tcBorders>
              <w:top w:val="single" w:sz="4" w:color="D7DADF"/>
              <w:left w:val="single" w:sz="4" w:color="D7DADF"/>
              <w:bottom w:val="single" w:sz="4" w:color="D7DADF"/>
              <w:right w:val="single" w:sz="4" w:color="D7DADF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242424"/>
                <w:sz w:val="20"/>
              </w:rPr>
              <w:t>Semestre</w:t>
            </w:r>
          </w:p>
        </w:tc>
        <w:tc>
          <w:tcPr>
            <w:tcW w:type="dxa" w:w="5040"/>
            <w:shd w:fill="FFFFFF"/>
            <w:tcBorders>
              <w:top w:val="single" w:sz="4" w:color="D7DADF"/>
              <w:left w:val="single" w:sz="4" w:color="D7DADF"/>
              <w:bottom w:val="single" w:sz="4" w:color="D7DADF"/>
              <w:right w:val="single" w:sz="4" w:color="D7DADF"/>
            </w:tcBorders>
            <w:vAlign w:val="center"/>
          </w:tcPr>
          <w:p>
            <w:r>
              <w:rPr>
                <w:rFonts w:ascii="Aptos" w:hAnsi="Aptos" w:eastAsia="Aptos"/>
                <w:b w:val="0"/>
                <w:color w:val="242424"/>
                <w:sz w:val="20"/>
              </w:rPr>
              <w:t>2º semestre de 2026</w:t>
            </w:r>
          </w:p>
        </w:tc>
      </w:tr>
      <w:tr>
        <w:trPr>
          <w:cantSplit w:val="true"/>
        </w:trPr>
        <w:tc>
          <w:tcPr>
            <w:tcW w:type="dxa" w:w="5040"/>
            <w:shd w:fill="F4F5F7"/>
            <w:tcBorders>
              <w:top w:val="single" w:sz="4" w:color="D7DADF"/>
              <w:left w:val="single" w:sz="4" w:color="D7DADF"/>
              <w:bottom w:val="single" w:sz="4" w:color="D7DADF"/>
              <w:right w:val="single" w:sz="4" w:color="D7DADF"/>
            </w:tcBorders>
            <w:vAlign w:val="center"/>
          </w:tcPr>
          <w:p>
            <w:r>
              <w:rPr>
                <w:rFonts w:ascii="Aptos" w:hAnsi="Aptos" w:eastAsia="Aptos"/>
                <w:b/>
                <w:color w:val="242424"/>
                <w:sz w:val="20"/>
              </w:rPr>
              <w:t>Data prevista</w:t>
            </w:r>
          </w:p>
        </w:tc>
        <w:tc>
          <w:tcPr>
            <w:tcW w:type="dxa" w:w="5040"/>
            <w:shd w:fill="FFFFFF"/>
            <w:tcBorders>
              <w:top w:val="single" w:sz="4" w:color="D7DADF"/>
              <w:left w:val="single" w:sz="4" w:color="D7DADF"/>
              <w:bottom w:val="single" w:sz="4" w:color="D7DADF"/>
              <w:right w:val="single" w:sz="4" w:color="D7DADF"/>
            </w:tcBorders>
            <w:vAlign w:val="center"/>
          </w:tcPr>
          <w:p>
            <w:r>
              <w:rPr>
                <w:rFonts w:ascii="Aptos" w:hAnsi="Aptos" w:eastAsia="Aptos"/>
                <w:b w:val="0"/>
                <w:color w:val="242424"/>
                <w:sz w:val="20"/>
              </w:rPr>
              <w:t>07/10/2026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CECEF"/>
            <w:tcBorders>
              <w:top w:val="single" w:sz="2" w:color="FCECEF"/>
              <w:left w:val="single" w:sz="18" w:color="C8102E"/>
              <w:bottom w:val="single" w:sz="2" w:color="FCECEF"/>
              <w:right w:val="single" w:sz="2" w:color="FCECE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C8102E"/>
                <w:sz w:val="21"/>
              </w:rPr>
              <w:t>IDEIA CENTRAL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242424"/>
                <w:sz w:val="20"/>
              </w:rPr>
              <w:t>Se várias alterações representam uma única operação lógica, ou todas devem ser confirmadas, ou nenhuma pode permanecer.</w:t>
            </w:r>
          </w:p>
        </w:tc>
      </w:tr>
    </w:tbl>
    <w:p>
      <w:pPr>
        <w:spacing w:after="0"/>
      </w:pPr>
    </w:p>
    <w:p>
      <w:pPr>
        <w:spacing w:before="520"/>
        <w:jc w:val="center"/>
      </w:pPr>
      <w:r>
        <w:rPr>
          <w:rFonts w:ascii="Aptos" w:hAnsi="Aptos" w:eastAsia="Aptos"/>
          <w:b/>
          <w:color w:val="C8102E"/>
          <w:sz w:val="24"/>
        </w:rPr>
        <w:t>Arquivo de entrega: CP5_NOME_RM.zip</w:t>
      </w:r>
    </w:p>
    <w:p>
      <w:pPr>
        <w:jc w:val="center"/>
      </w:pPr>
      <w:r>
        <w:rPr>
          <w:rFonts w:ascii="Aptos" w:hAnsi="Aptos" w:eastAsia="Aptos"/>
          <w:color w:val="666666"/>
          <w:sz w:val="19"/>
        </w:rPr>
        <w:t>Um integrante realiza a entrega; todos os integrantes devem constar no README.</w:t>
      </w:r>
    </w:p>
    <w:p>
      <w:r>
        <w:br w:type="page"/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1. OBJETIVO DO CHECKPOINT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O CP5 tem como objetivo avaliar a compreensão e a implementação de transações locais em aplicações C#, utilizando Microsoft SQL Server e Oracle. O foco é demonstrar, de forma prática, atomicidade, consistência, tratamento de erros e o uso correto de COMMIT e ROLLBACK.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EAF2FA"/>
            <w:tcBorders>
              <w:top w:val="single" w:sz="2" w:color="EAF2FA"/>
              <w:left w:val="single" w:sz="18" w:color="2F6F9F"/>
              <w:bottom w:val="single" w:sz="2" w:color="EAF2FA"/>
              <w:right w:val="single" w:sz="2" w:color="EAF2FA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2F6F9F"/>
                <w:sz w:val="21"/>
              </w:rPr>
              <w:t>FOCO DA AVALIAÇÃO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242424"/>
                <w:sz w:val="20"/>
              </w:rPr>
              <w:t>A atividade avalia a transação e seu comportamento. A tecnologia de acesso a dados escolhida pelo grupo não gera, por si só, vantagem ou penalização.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2. ESCOPO TÉCNICO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Implementar uma operação de transferência entre duas contas.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Executar a mesma operação em SQL Server e em Oracle, em momentos independentes.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Utilizar uma transação local em cada banco.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Executar COMMIT quando todas as operações forem concluídas com sucesso.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Executar ROLLBACK quando ocorrer falha após o início da transação.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Demonstrar, por evidências, um caso de sucesso e um caso de falha em cada banco.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Tratar exceções de maneira compreensível e preservar a consistência dos dados.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FF5D6"/>
            <w:tcBorders>
              <w:top w:val="single" w:sz="2" w:color="FFF5D6"/>
              <w:left w:val="single" w:sz="18" w:color="B47A00"/>
              <w:bottom w:val="single" w:sz="2" w:color="FFF5D6"/>
              <w:right w:val="single" w:sz="2" w:color="FFF5D6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B47A00"/>
                <w:sz w:val="21"/>
              </w:rPr>
              <w:t>IMPORTANTE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242424"/>
                <w:sz w:val="20"/>
              </w:rPr>
              <w:t>SQL Server e Oracle são obrigatórios, mas não participam da mesma transação. Cada execução deve trabalhar com apenas um banco de dados.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3. TECNOLOGIA DE ACESSO A DADOS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Na aula de referência, os exemplos de transação foram apresentados com ADO.NET, pois essa abordagem permite visualizar diretamente conexão, comandos, transação, COMMIT e ROLLBACK.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No CP5, o grupo poderá utilizar ADO.NET, Entity Framework Core ou outra tecnologia equivalente disponível para C#. A escolha é livre, desde que seja possível demonstrar claramente:</w:t>
      </w:r>
    </w:p>
    <w:p>
      <w:pPr/>
      <w:r>
        <w:rPr>
          <w:rFonts w:ascii="Aptos" w:hAnsi="Aptos"/>
          <w:color w:val="242424"/>
          <w:sz w:val="21"/>
        </w:rPr>
        <w:t>Ambiente de referência recomendado: .NET 9. ADO.NET ou EF Core básico atendem plenamente ao objetivo. O uso de bibliotecas externas ou versões diferentes é permitido quando compatível, mas não gera pontuação adicional e sua configuração é responsabilidade do grupo.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onde a transação é iniciada;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quais operações participam da mesma transação;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onde ocorre o COMMIT;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onde ocorre o ROLLBACK;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como a exceção é tratada;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que nenhuma alteração parcial permanece após a falha.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CECEF"/>
            <w:tcBorders>
              <w:top w:val="single" w:sz="2" w:color="FCECEF"/>
              <w:left w:val="single" w:sz="18" w:color="C8102E"/>
              <w:bottom w:val="single" w:sz="2" w:color="FCECEF"/>
              <w:right w:val="single" w:sz="2" w:color="FCECE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C8102E"/>
                <w:sz w:val="21"/>
              </w:rPr>
              <w:t>A LIBERDADE TECNOLÓGICA NÃO ELIMINA O REQUISITO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242424"/>
                <w:sz w:val="20"/>
              </w:rPr>
              <w:t>Débito, crédito e registro em TRANSFERENCIA devem fazer parte da mesma unidade transacional. Operações independentes não atendem ao requisito.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4. CENÁRIO DA ATIVIDADE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A aplicação deverá representar uma transferência de valor entre duas contas. Para evitar qualquer associação com integrantes da turma, o enunciado utiliza apenas identificadores genéricos.</w:t>
      </w:r>
    </w:p>
    <w:p>
      <w:r>
        <w:rPr>
          <w:rFonts w:ascii="Aptos" w:hAnsi="Aptos"/>
          <w:color w:val="222222"/>
          <w:sz w:val="20"/>
        </w:rPr>
        <w:t>A base de referência fornecida para o CP5 utiliza quatro tabelas: CLIENTE, TIPO_CONTA, CONTA e TRANSFERENCIA. Este é o modelo relacional oficial da atividade e está detalhado no D03 e implementado nos scripts do D04.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CLIENTE</w:t>
              <w:br/>
              <w:t xml:space="preserve">  Id | Nome | Documento | Ativo</w:t>
              <w:br/>
              <w:br/>
              <w:t>TIPO_CONTA</w:t>
              <w:br/>
              <w:t xml:space="preserve">  Id | Descricao</w:t>
              <w:br/>
              <w:br/>
              <w:t>CONTA</w:t>
              <w:br/>
              <w:t xml:space="preserve">  Id | ClienteId | TipoContaId | Numero | Saldo | Ativa</w:t>
              <w:br/>
              <w:br/>
              <w:t>TRANSFERENCIA</w:t>
              <w:br/>
              <w:t xml:space="preserve">  Id | ContaOrigemId | ContaDestinoId | Valor | DataTransferencia | Observacao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Exemplo de estado inicial: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CC-1001 — Conta Origem  — R$ 1.000,00</w:t>
              <w:br/>
              <w:t>CC-1002 — Conta Destino — R$   500,00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Exemplo de operação: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Transferir R$ 200,00 da conta CC-1001 para a conta CC-1002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5. COMPORTAMENTO ESPERADO — CASO DE SUCESSO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Quando a transferência for válida e nenhuma falha ocorrer, o resultado esperado será: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ANTES</w:t>
              <w:br/>
              <w:t>CC-1001 = R$ 1.000,00</w:t>
              <w:br/>
              <w:t>CC-1002 = R$   500,00</w:t>
              <w:br/>
              <w:t>Total   = R$ 1.500,00</w:t>
              <w:br/>
              <w:br/>
              <w:t>TRANSFERÊNCIA = R$ 200,00</w:t>
              <w:br/>
              <w:br/>
              <w:t>DEPOIS</w:t>
              <w:br/>
              <w:t>CC-1001 = R$   800,00</w:t>
              <w:br/>
              <w:t>CC-1002 = R$   700,00</w:t>
              <w:br/>
              <w:t>Total   = R$ 1.500,00</w:t>
              <w:br/>
              <w:t>TRANSFERENCIA = 1 novo registro</w:t>
              <w:br/>
              <w:br/>
              <w:t>COMMIT realizado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A soma dos saldos antes e depois da operação deve permanecer consistente. O grupo deverá demonstrar que o COMMIT somente ocorre depois do débito, do crédito e do registro da transferência na tabela TRANSFERENCIA.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6. COMPORTAMENTO ESPERADO — TESTE OBRIGATÓRIO DE ROLLBACK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O grupo deverá provocar deliberadamente uma falha depois de a transação ter sido iniciada e depois de pelo menos uma alteração ter sido executada, mas antes da conclusão de toda a operação.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INICIAR TRANSAÇÃO</w:t>
              <w:br/>
              <w:t xml:space="preserve">        ↓</w:t>
              <w:br/>
              <w:t>DEBITAR CONTA ORIGEM</w:t>
              <w:br/>
              <w:t xml:space="preserve">        ↓</w:t>
              <w:br/>
              <w:t>PROVOCAR ERRO DE TESTE</w:t>
              <w:br/>
              <w:t xml:space="preserve">        ↓</w:t>
              <w:br/>
              <w:t>EXCEÇÃO</w:t>
              <w:br/>
              <w:t xml:space="preserve">        ↓</w:t>
              <w:br/>
              <w:t>ROLLBACK</w:t>
              <w:br/>
              <w:t xml:space="preserve">        ↓</w:t>
              <w:br/>
              <w:t>SALDOS E HISTÓRICO PRESERVADOS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O erro deve ser proposital e controlado. Um erro acidental de configuração, conexão ou sintaxe não será considerado demonstração adequada de rollback.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EAF5EE"/>
            <w:tcBorders>
              <w:top w:val="single" w:sz="2" w:color="EAF5EE"/>
              <w:left w:val="single" w:sz="18" w:color="2A7A46"/>
              <w:bottom w:val="single" w:sz="2" w:color="EAF5EE"/>
              <w:right w:val="single" w:sz="2" w:color="EAF5EE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2A7A46"/>
                <w:sz w:val="21"/>
              </w:rPr>
              <w:t>RESULTADO OBRIGATÓRIO APÓS O ROLLBACK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242424"/>
                <w:sz w:val="20"/>
              </w:rPr>
              <w:t>CC-1001 = R$ 1.000,00, CC-1002 = R$ 500,00 e nenhum registro parcial em TRANSFERENCIA. Nenhuma alteração parcial pode permanecer.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7. REQUISITOS FUNCIONAIS MÍNIMOS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Permitir selecionar SQL Server ou Oracle para a execução.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Informar conta de origem, conta de destino e valor.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Validar a existência das contas.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Validar que o valor da transferência é maior que zero.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Validar saldo suficiente na conta de origem.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Evitar transferência da conta para ela mesma.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Iniciar uma transação local.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Debitar a conta de origem.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Creditar a conta de destino.</w:t>
      </w:r>
    </w:p>
    <w:p>
      <w:pPr>
        <w:pStyle w:val="ListNumber"/>
      </w:pPr>
      <w:r>
        <w:rPr>
          <w:rFonts w:ascii="Aptos" w:hAnsi="Aptos"/>
          <w:color w:val="242424"/>
          <w:sz w:val="20"/>
        </w:rPr>
        <w:t>Registrar a transferência na tabela TRANSFERENCIA dentro da mesma transação.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Executar COMMIT em caso de sucesso.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Executar ROLLBACK em caso de falha.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Apresentar mensagem compreensível ao usuário.</w:t>
      </w:r>
    </w:p>
    <w:p>
      <w:pPr>
        <w:pStyle w:val="ListNumber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Permitir um teste controlado de erro para comprovar o rollback.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8. BANCO DE DADOS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A entrega deverá conter scripts independentes para os dois bancos:</w:t>
      </w:r>
    </w:p>
    <w:p>
      <w:r>
        <w:rPr>
          <w:rFonts w:ascii="Aptos" w:hAnsi="Aptos"/>
          <w:color w:val="222222"/>
          <w:sz w:val="20"/>
        </w:rPr>
        <w:t>No SQL Server, recomenda-se uma database própria, por exemplo CP5_RM999999. No Oracle XE local, utiliza-se o XEPDB1 com um usuário/schema próprio, por exemplo CP5_RM999999. O S00_Oracle_XE_Local_Preparar_Usuario_CP5.sql é opcional e destina-se somente a Oracle XE local quando houver permissão administrativa. Em ambiente institucional, use as credenciais e permissões fornecidas e não tente executar o S00 como administrador.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r>
              <w:rPr>
                <w:rFonts w:ascii="Consolas" w:hAnsi="Consolas"/>
                <w:sz w:val="17"/>
              </w:rPr>
              <w:t>scripts/</w:t>
              <w:br/>
              <w:t>├── S00_Oracle_XE_Local_Preparar_Usuario_CP5.sql</w:t>
              <w:br/>
              <w:t>├── S01_SQLServer_Estrutura_Dados.sql</w:t>
              <w:br/>
              <w:t>├── S02_Oracle_Estrutura_Dados.sql</w:t>
              <w:br/>
              <w:t>├── S03_SQLServer_Testes_Commit_Rollback.sql</w:t>
              <w:br/>
              <w:t>└── S04_Oracle_Testes_Commit_Rollback.sql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O conjunto de scripts fornecido deve permitir: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criar a estrutura necessária;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inserir os dados iniciais;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consultar os saldos antes e depois das operações;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reinicializar os dados para novos testes.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Não é necessário utilizar recursos avançados do SGBD. O objetivo é permitir que o comportamento transacional seja reproduzido e verificado.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9. INTERFACE DA APLICAÇÃO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A interface pode ser simples. Uma Console Application é suficiente e recomendada por manter o foco na transação. Também são permitidas outras interfaces ou arquiteturas, como Windows Forms, API, MVC ou Blazor, desde que todos os requisitos sejam atendidos.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4F5F7"/>
            <w:tcBorders>
              <w:top w:val="single" w:sz="2" w:color="F4F5F7"/>
              <w:left w:val="single" w:sz="18" w:color="777777"/>
              <w:bottom w:val="single" w:sz="2" w:color="F4F5F7"/>
              <w:right w:val="single" w:sz="2" w:color="F4F5F7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777777"/>
                <w:sz w:val="21"/>
              </w:rPr>
              <w:t>SEM PONTOS EXTRAS POR INTERFACE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242424"/>
                <w:sz w:val="20"/>
              </w:rPr>
              <w:t>Uma interface mais sofisticada não aumenta a nota e não compensa requisitos transacionais ausentes ou incorretos.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10. EVIDÊNCIAS OBRIGATÓRIAS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A entrega deverá incluir evidências legíveis que permitam verificar, no mínimo: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 w:val="true"/>
        </w:trPr>
        <w:tc>
          <w:tcPr>
            <w:tcW w:type="dxa" w:w="5040"/>
            <w:shd w:fill="C8102E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Evidência</w:t>
            </w:r>
          </w:p>
        </w:tc>
        <w:tc>
          <w:tcPr>
            <w:tcW w:type="dxa" w:w="5040"/>
            <w:shd w:fill="C8102E"/>
          </w:tcPr>
          <w:p>
            <w:r>
              <w:rPr>
                <w:rFonts w:ascii="Aptos" w:hAnsi="Aptos" w:eastAsia="Aptos"/>
                <w:b/>
                <w:color w:val="FFFFFF"/>
                <w:sz w:val="18"/>
              </w:rPr>
              <w:t>O que deve demonstrar</w:t>
            </w:r>
          </w:p>
        </w:tc>
      </w:tr>
      <w:tr>
        <w:trPr>
          <w:cantSplit w:val="true"/>
        </w:trPr>
        <w:tc>
          <w:tcPr>
            <w:tcW w:type="dxa" w:w="5040"/>
            <w:shd w:fill="F4F5F7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rPr>
                <w:rFonts w:ascii="Aptos" w:hAnsi="Aptos" w:eastAsia="Aptos"/>
                <w:b/>
                <w:color w:val="242424"/>
                <w:sz w:val="18"/>
              </w:rPr>
              <w:t>01 — Estrutura</w:t>
            </w:r>
          </w:p>
        </w:tc>
        <w:tc>
          <w:tcPr>
            <w:tcW w:type="dxa" w:w="5040"/>
            <w:shd w:fill="F4F5F7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rPr>
                <w:rFonts w:ascii="Aptos" w:hAnsi="Aptos" w:eastAsia="Aptos"/>
                <w:b w:val="0"/>
                <w:color w:val="242424"/>
                <w:sz w:val="18"/>
              </w:rPr>
              <w:t>Solução/projeto C#, scripts e organização da entrega.</w:t>
            </w:r>
          </w:p>
        </w:tc>
      </w:tr>
      <w:tr>
        <w:trPr>
          <w:cantSplit w:val="true"/>
        </w:trPr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rPr>
                <w:rFonts w:ascii="Aptos" w:hAnsi="Aptos" w:eastAsia="Aptos"/>
                <w:b/>
                <w:color w:val="242424"/>
                <w:sz w:val="18"/>
              </w:rPr>
              <w:t>02 — SQL Server / COMMIT</w:t>
            </w:r>
          </w:p>
        </w:tc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t>Execução de sucesso, saldos finais corretos e registro correspondente em TRANSFERENCIA no SQL Server.</w:t>
            </w:r>
          </w:p>
        </w:tc>
      </w:tr>
      <w:tr>
        <w:trPr>
          <w:cantSplit w:val="true"/>
        </w:trPr>
        <w:tc>
          <w:tcPr>
            <w:tcW w:type="dxa" w:w="5040"/>
            <w:shd w:fill="F4F5F7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rPr>
                <w:rFonts w:ascii="Aptos" w:hAnsi="Aptos" w:eastAsia="Aptos"/>
                <w:b/>
                <w:color w:val="242424"/>
                <w:sz w:val="18"/>
              </w:rPr>
              <w:t>03 — SQL Server / ROLLBACK</w:t>
            </w:r>
          </w:p>
        </w:tc>
        <w:tc>
          <w:tcPr>
            <w:tcW w:type="dxa" w:w="5040"/>
            <w:shd w:fill="F4F5F7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t>Falha simulada e comprovação de que nem saldo parcial nem registro parcial em TRANSFERENCIA permaneceram.</w:t>
            </w:r>
          </w:p>
        </w:tc>
      </w:tr>
      <w:tr>
        <w:trPr>
          <w:cantSplit w:val="true"/>
        </w:trPr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rPr>
                <w:rFonts w:ascii="Aptos" w:hAnsi="Aptos" w:eastAsia="Aptos"/>
                <w:b/>
                <w:color w:val="242424"/>
                <w:sz w:val="18"/>
              </w:rPr>
              <w:t>04 — Oracle / COMMIT</w:t>
            </w:r>
          </w:p>
        </w:tc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t>Execução de sucesso, saldos finais corretos e registro correspondente em TRANSFERENCIA no Oracle.</w:t>
            </w:r>
          </w:p>
        </w:tc>
      </w:tr>
      <w:tr>
        <w:trPr>
          <w:cantSplit w:val="true"/>
        </w:trPr>
        <w:tc>
          <w:tcPr>
            <w:tcW w:type="dxa" w:w="5040"/>
            <w:shd w:fill="F4F5F7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rPr>
                <w:rFonts w:ascii="Aptos" w:hAnsi="Aptos" w:eastAsia="Aptos"/>
                <w:b/>
                <w:color w:val="242424"/>
                <w:sz w:val="18"/>
              </w:rPr>
              <w:t>05 — Oracle / ROLLBACK</w:t>
            </w:r>
          </w:p>
        </w:tc>
        <w:tc>
          <w:tcPr>
            <w:tcW w:type="dxa" w:w="5040"/>
            <w:shd w:fill="F4F5F7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t>Falha simulada e comprovação de que nem saldo parcial nem registro parcial em TRANSFERENCIA permaneceram.</w:t>
            </w:r>
          </w:p>
        </w:tc>
      </w:tr>
      <w:tr>
        <w:trPr>
          <w:cantSplit w:val="true"/>
        </w:trPr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rPr>
                <w:rFonts w:ascii="Aptos" w:hAnsi="Aptos" w:eastAsia="Aptos"/>
                <w:b/>
                <w:color w:val="242424"/>
                <w:sz w:val="18"/>
              </w:rPr>
              <w:t>06 — Código da transação</w:t>
            </w:r>
          </w:p>
        </w:tc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r>
              <w:t>Trecho(s) suficiente(s) para identificar início da transação, débito, crédito, INSERT em TRANSFERENCIA, COMMIT e ROLLBACK.</w:t>
            </w:r>
          </w:p>
        </w:tc>
      </w:tr>
    </w:tbl>
    <w:p>
      <w:pPr>
        <w:spacing w:before="80" w:after="120"/>
      </w:pPr>
      <w:r>
        <w:rPr>
          <w:rFonts w:ascii="Aptos" w:hAnsi="Aptos"/>
          <w:color w:val="222222"/>
          <w:sz w:val="19"/>
        </w:rPr>
        <w:t>O D07 é um modelo opcional para organizar as evidências. A entrega obrigatória continua sendo composta pelas seis evidências indicadas acima; o D07 preenchido não substitui esses arquivos.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11. README OBRIGATÓRIO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O arquivo README.md deverá informar: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nome e RM de todos os integrantes;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turma 3ESPH;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objetivo da aplicação;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tecnologia de acesso a dados escolhida;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como configurar SQL Server;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como configurar Oracle;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como executar os scripts;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como executar o projeto;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como realizar o teste de COMMIT;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como realizar o teste de ROLLBACK;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breve explicação de por que o rollback impede atualização parcial.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12. SEGURANÇA DE CREDENCIAIS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CECEF"/>
            <w:tcBorders>
              <w:top w:val="single" w:sz="2" w:color="FCECEF"/>
              <w:left w:val="single" w:sz="18" w:color="C8102E"/>
              <w:bottom w:val="single" w:sz="2" w:color="FCECEF"/>
              <w:right w:val="single" w:sz="2" w:color="FCECEF"/>
            </w:tcBorders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color w:val="C8102E"/>
                <w:sz w:val="21"/>
              </w:rPr>
              <w:t>NÃO ENTREGAR SENHAS INSTITUCIONAIS REAIS</w:t>
            </w:r>
          </w:p>
          <w:p>
            <w:pPr>
              <w:spacing w:after="0" w:line="252" w:lineRule="auto"/>
            </w:pPr>
            <w:r>
              <w:rPr>
                <w:rFonts w:ascii="Aptos" w:hAnsi="Aptos" w:eastAsia="Aptos"/>
                <w:color w:val="242424"/>
                <w:sz w:val="20"/>
              </w:rPr>
              <w:t>Connection strings, arquivos de configuração, README, scripts, imagens e código-fonte não devem expor senhas institucionais reais.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Quando necessário, utilize marcadores ou configuração local, por exemplo: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02020"/>
                <w:sz w:val="18"/>
              </w:rPr>
              <w:t>User Id=SEU_USUARIO;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8"/>
              </w:rPr>
              <w:t>Password=SUA_SENHA_AQUI;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Credenciais artificiais criadas especificamente para um Oracle XE local de laboratório podem aparecer no material, desde que estejam claramente identificadas como credenciais do ambiente local.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13. ORGANIZAÇÃO DO ZIP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O nome do arquivo deverá seguir obrigatoriamente o padrão: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02020"/>
                <w:sz w:val="18"/>
              </w:rPr>
              <w:t>CP5_NOME_RM.zip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Estrutura sugerida: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r>
              <w:rPr>
                <w:rFonts w:ascii="Consolas" w:hAnsi="Consolas"/>
                <w:sz w:val="17"/>
              </w:rPr>
              <w:t>CP5_NOME_RM.zip</w:t>
              <w:br/>
              <w:t>│</w:t>
              <w:br/>
              <w:t>├── solução/projeto C#</w:t>
              <w:br/>
              <w:t>├── scripts/</w:t>
              <w:br/>
              <w:t>│   ├── S00_Oracle_XE_Local_Preparar_Usuario_CP5.sql (opcional)</w:t>
              <w:br/>
              <w:t>│   ├── S01_SQLServer_Estrutura_Dados.sql</w:t>
              <w:br/>
              <w:t>│   ├── S02_Oracle_Estrutura_Dados.sql</w:t>
              <w:br/>
              <w:t>│   ├── S03_SQLServer_Testes_Commit_Rollback.sql</w:t>
              <w:br/>
              <w:t>│   └── S04_Oracle_Testes_Commit_Rollback.sql</w:t>
              <w:br/>
              <w:t>├── evidencias/</w:t>
              <w:br/>
              <w:t>│   ├── 01_estrutura.png</w:t>
              <w:br/>
              <w:t>│   ├── 02_sqlserver_commit.png</w:t>
              <w:br/>
              <w:t>│   ├── 03_sqlserver_rollback.png</w:t>
              <w:br/>
              <w:t>│   ├── 04_oracle_commit.png</w:t>
              <w:br/>
              <w:t>│   ├── 05_oracle_rollback.png</w:t>
              <w:br/>
              <w:t>│   └── 06_codigo_transacao.png</w:t>
              <w:br/>
              <w:t>└── README.md</w:t>
            </w:r>
          </w:p>
        </w:tc>
      </w:tr>
    </w:tbl>
    <w:p>
      <w:pPr>
        <w:spacing w:after="0"/>
      </w:pP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Não incluir pastas de compilação e arquivos temporários desnecessários, como: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 w:val="true"/>
        </w:trPr>
        <w:tc>
          <w:tcPr>
            <w:tcW w:type="dxa" w:w="10080"/>
            <w:shd w:fill="F7F7F7"/>
            <w:tcBorders>
              <w:top w:val="single" w:sz="4" w:color="C8CCD0"/>
              <w:left w:val="single" w:sz="4" w:color="C8CCD0"/>
              <w:bottom w:val="single" w:sz="4" w:color="C8CCD0"/>
              <w:right w:val="single" w:sz="4" w:color="C8CCD0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02020"/>
                <w:sz w:val="18"/>
              </w:rPr>
              <w:t>bin/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8"/>
              </w:rPr>
              <w:t>obj/</w:t>
            </w:r>
            <w:r>
              <w:br/>
            </w:r>
            <w:r>
              <w:rPr>
                <w:rFonts w:ascii="Consolas" w:hAnsi="Consolas" w:eastAsia="Consolas"/>
                <w:color w:val="202020"/>
                <w:sz w:val="18"/>
              </w:rPr>
              <w:t>.vs/</w:t>
            </w:r>
          </w:p>
        </w:tc>
      </w:tr>
    </w:tbl>
    <w:p>
      <w:pPr>
        <w:spacing w:after="0"/>
      </w:pP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14. TRABALHO EM EQUIPE E ENTREGA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O trabalho poderá ser realizado em equipe.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Um integrante realiza a entrega.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A entrega daquele integrante será considerada para os demais integrantes identificados no README.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Todos os integrantes devem estar identificados por nome e RM.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A composição da equipe será considerada pela identificação apresentada na entrega; por isso o nome do ZIP não utiliza a palavra 'GRUPO' nem 'LÍDER'.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15. RUBRICA RESUMIDA — 10,0 PONTOS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 w:val="true"/>
        </w:trPr>
        <w:tc>
          <w:tcPr>
            <w:tcW w:type="dxa" w:w="5040"/>
            <w:shd w:fill="C8102E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Critério</w:t>
            </w:r>
          </w:p>
        </w:tc>
        <w:tc>
          <w:tcPr>
            <w:tcW w:type="dxa" w:w="5040"/>
            <w:shd w:fill="C8102E"/>
          </w:tcPr>
          <w:p>
            <w:r>
              <w:rPr>
                <w:rFonts w:ascii="Aptos" w:hAnsi="Aptos" w:eastAsia="Aptos"/>
                <w:b/>
                <w:color w:val="FFFFFF"/>
                <w:sz w:val="19"/>
              </w:rPr>
              <w:t>Pontos</w:t>
            </w:r>
          </w:p>
        </w:tc>
      </w:tr>
      <w:tr>
        <w:trPr>
          <w:cantSplit w:val="true"/>
        </w:trPr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Estrutura, scripts e configuração</w:t>
            </w:r>
          </w:p>
        </w:tc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0,75</w:t>
            </w:r>
          </w:p>
        </w:tc>
      </w:tr>
      <w:tr>
        <w:trPr>
          <w:cantSplit w:val="true"/>
        </w:trPr>
        <w:tc>
          <w:tcPr>
            <w:tcW w:type="dxa" w:w="5040"/>
            <w:shd w:fill="F9FAFB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Transação local — SQL Server</w:t>
            </w:r>
          </w:p>
        </w:tc>
        <w:tc>
          <w:tcPr>
            <w:tcW w:type="dxa" w:w="5040"/>
            <w:shd w:fill="F9FAFB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1,50</w:t>
            </w:r>
          </w:p>
        </w:tc>
      </w:tr>
      <w:tr>
        <w:trPr>
          <w:cantSplit w:val="true"/>
        </w:trPr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Transação local — Oracle</w:t>
            </w:r>
          </w:p>
        </w:tc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1,50</w:t>
            </w:r>
          </w:p>
        </w:tc>
      </w:tr>
      <w:tr>
        <w:trPr>
          <w:cantSplit w:val="true"/>
        </w:trPr>
        <w:tc>
          <w:tcPr>
            <w:tcW w:type="dxa" w:w="5040"/>
            <w:shd w:fill="F9FAFB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COMMIT e consistência</w:t>
            </w:r>
          </w:p>
        </w:tc>
        <w:tc>
          <w:tcPr>
            <w:tcW w:type="dxa" w:w="5040"/>
            <w:shd w:fill="F9FAFB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1,50</w:t>
            </w:r>
          </w:p>
        </w:tc>
      </w:tr>
      <w:tr>
        <w:trPr>
          <w:cantSplit w:val="true"/>
        </w:trPr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ROLLBACK e atomicidade</w:t>
            </w:r>
          </w:p>
        </w:tc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2,50</w:t>
            </w:r>
          </w:p>
        </w:tc>
      </w:tr>
      <w:tr>
        <w:trPr>
          <w:cantSplit w:val="true"/>
        </w:trPr>
        <w:tc>
          <w:tcPr>
            <w:tcW w:type="dxa" w:w="5040"/>
            <w:shd w:fill="F9FAFB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Validações</w:t>
            </w:r>
          </w:p>
        </w:tc>
        <w:tc>
          <w:tcPr>
            <w:tcW w:type="dxa" w:w="5040"/>
            <w:shd w:fill="F9FAFB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0,75</w:t>
            </w:r>
          </w:p>
        </w:tc>
      </w:tr>
      <w:tr>
        <w:trPr>
          <w:cantSplit w:val="true"/>
        </w:trPr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Exceções e gerenciamento de recursos</w:t>
            </w:r>
          </w:p>
        </w:tc>
        <w:tc>
          <w:tcPr>
            <w:tcW w:type="dxa" w:w="5040"/>
            <w:shd w:fill="FFFFF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0,75</w:t>
            </w:r>
          </w:p>
        </w:tc>
      </w:tr>
      <w:tr>
        <w:trPr>
          <w:cantSplit w:val="true"/>
        </w:trPr>
        <w:tc>
          <w:tcPr>
            <w:tcW w:type="dxa" w:w="5040"/>
            <w:shd w:fill="F9FAFB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Evidências, README e organização</w:t>
            </w:r>
          </w:p>
        </w:tc>
        <w:tc>
          <w:tcPr>
            <w:tcW w:type="dxa" w:w="5040"/>
            <w:shd w:fill="F9FAFB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 w:val="0"/>
                <w:color w:val="242424"/>
                <w:sz w:val="18"/>
              </w:rPr>
              <w:t>0,75</w:t>
            </w:r>
          </w:p>
        </w:tc>
      </w:tr>
      <w:tr>
        <w:trPr>
          <w:cantSplit w:val="true"/>
        </w:trPr>
        <w:tc>
          <w:tcPr>
            <w:tcW w:type="dxa" w:w="5040"/>
            <w:shd w:fill="FCECE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left"/>
            </w:pPr>
            <w:r>
              <w:rPr>
                <w:rFonts w:ascii="Aptos" w:hAnsi="Aptos" w:eastAsia="Aptos"/>
                <w:b/>
                <w:color w:val="C8102E"/>
                <w:sz w:val="18"/>
              </w:rPr>
              <w:t>TOTAL</w:t>
            </w:r>
          </w:p>
        </w:tc>
        <w:tc>
          <w:tcPr>
            <w:tcW w:type="dxa" w:w="5040"/>
            <w:shd w:fill="FCECEF"/>
            <w:tcBorders>
              <w:top w:val="single" w:sz="3" w:color="D7DADF"/>
              <w:left w:val="single" w:sz="3" w:color="D7DADF"/>
              <w:bottom w:val="single" w:sz="3" w:color="D7DADF"/>
              <w:right w:val="single" w:sz="3" w:color="D7DADF"/>
            </w:tcBorders>
          </w:tcPr>
          <w:p>
            <w:pPr>
              <w:jc w:val="right"/>
            </w:pPr>
            <w:r>
              <w:rPr>
                <w:rFonts w:ascii="Aptos" w:hAnsi="Aptos" w:eastAsia="Aptos"/>
                <w:b/>
                <w:color w:val="C8102E"/>
                <w:sz w:val="18"/>
              </w:rPr>
              <w:t>10,00</w:t>
            </w:r>
          </w:p>
        </w:tc>
      </w:tr>
    </w:tbl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A correção não utilizará lógica de tudo ou nada. Requisitos corretamente demonstrados poderão receber a pontuação correspondente mesmo quando outros itens apresentarem problemas.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16. O QUE NÃO FAZ PARTE DESTE CHECKPOINT</w:t>
      </w:r>
    </w:p>
    <w:p>
      <w:pPr>
        <w:keepNext w:val="0"/>
        <w:spacing w:after="100" w:before="0" w:line="259" w:lineRule="auto"/>
      </w:pPr>
      <w:r>
        <w:rPr>
          <w:rFonts w:ascii="Aptos" w:hAnsi="Aptos" w:eastAsia="Aptos"/>
          <w:color w:val="242424"/>
          <w:sz w:val="21"/>
        </w:rPr>
        <w:t>Não será cobrado e não gera pontuação adicional: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Stored Procedures;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functions armazenadas;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triggers;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packages Oracle;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transações distribuídas SQL Server e Oracle;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MSDTC, XA ou two-phase commit;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TransactionScope distribuído;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microsserviços, mensageria, filas ou Redis;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autenticação, JWT ou Identity;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Docker;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Repository Pattern, CQRS ou arquiteturas avançadas;</w:t>
      </w:r>
    </w:p>
    <w:p>
      <w:pPr>
        <w:pStyle w:val="ListBullet"/>
        <w:spacing w:after="50" w:line="250" w:lineRule="auto"/>
      </w:pPr>
      <w:r>
        <w:rPr>
          <w:rFonts w:ascii="Aptos" w:hAnsi="Aptos" w:eastAsia="Aptos"/>
          <w:color w:val="242424"/>
          <w:sz w:val="20"/>
        </w:rPr>
        <w:t>interfaces gráficas sofisticadas.</w:t>
      </w:r>
    </w:p>
    <w:p>
      <w:pPr>
        <w:keepNext/>
        <w:spacing w:before="200" w:after="80"/>
        <w:pBdr>
          <w:bottom w:val="single" w:sz="8" w:space="1" w:color="C8102E"/>
        </w:pBdr>
      </w:pPr>
      <w:r>
        <w:rPr>
          <w:rFonts w:ascii="Aptos" w:hAnsi="Aptos" w:eastAsia="Aptos"/>
          <w:b/>
          <w:color w:val="C8102E"/>
          <w:sz w:val="30"/>
        </w:rPr>
        <w:t>17. CHECKLIST ANTES DA ENTREGA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O projeto compila e executa.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A transferência funciona no SQL Server.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A transferência funciona no Oracle.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O COMMIT foi demonstrado nos dois bancos.</w:t>
      </w:r>
    </w:p>
    <w:p>
      <w:pPr/>
      <w:r>
        <w:rPr>
          <w:rFonts w:ascii="Aptos" w:hAnsi="Aptos"/>
          <w:color w:val="222222"/>
          <w:sz w:val="21"/>
        </w:rPr>
        <w:t>☐ O registro em TRANSFERENCIA foi confirmado no sucesso e não permaneceu após o ROLLBACK.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O erro controlado foi executado nos dois bancos.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O ROLLBACK foi comprovado nos dois bancos.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Nenhuma alteração parcial permanece após a falha.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As evidências estão legíveis.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O README identifica todos os integrantes e explica a execução.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Nenhuma senha institucional real está presente.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O ZIP foi limpo de bin/, obj/ e .vs/.</w:t>
      </w:r>
    </w:p>
    <w:p>
      <w:pPr>
        <w:spacing w:after="46"/>
      </w:pPr>
      <w:r>
        <w:rPr>
          <w:rFonts w:ascii="Aptos" w:hAnsi="Aptos" w:eastAsia="Aptos"/>
          <w:color w:val="C8102E"/>
          <w:sz w:val="21"/>
        </w:rPr>
        <w:t xml:space="preserve">☐ </w:t>
      </w:r>
      <w:r>
        <w:rPr>
          <w:rFonts w:ascii="Aptos" w:hAnsi="Aptos" w:eastAsia="Aptos"/>
          <w:color w:val="242424"/>
          <w:sz w:val="20"/>
        </w:rPr>
        <w:t>O arquivo final está nomeado como CP5_NOME_RM.zip.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c>
        <w:tcPr>
          <w:tcW w:type="dxa" w:w="3312"/>
        </w:tcPr>
        <w:p>
          <w:pPr>
            <w:jc w:val="left"/>
          </w:pPr>
          <w:r>
            <w:rPr>
              <w:rFonts w:ascii="Aptos" w:hAnsi="Aptos" w:eastAsia="Aptos"/>
              <w:color w:val="666666"/>
              <w:sz w:val="15"/>
            </w:rPr>
            <w:t>D01 — Checkpoint 5</w:t>
          </w:r>
        </w:p>
      </w:tc>
      <w:tc>
        <w:tcPr>
          <w:tcW w:type="dxa" w:w="3312"/>
        </w:tcPr>
        <w:p>
          <w:pPr>
            <w:jc w:val="center"/>
          </w:pPr>
          <w:r>
            <w:rPr>
              <w:rFonts w:ascii="Aptos" w:hAnsi="Aptos" w:eastAsia="Aptos"/>
              <w:color w:val="666666"/>
              <w:sz w:val="15"/>
            </w:rPr>
            <w:t>© 2026 Prof. Dr. Angel Antonio Gonzalez Martinez</w:t>
          </w:r>
        </w:p>
      </w:tc>
      <w:tc>
        <w:tcPr>
          <w:tcW w:type="dxa" w:w="3312"/>
        </w:tcPr>
        <w:p>
          <w:pPr>
            <w:jc w:val="right"/>
          </w:pPr>
          <w:r>
            <w:rPr>
              <w:rFonts w:ascii="Aptos" w:hAnsi="Aptos" w:eastAsia="Aptos"/>
              <w:color w:val="666666"/>
              <w:sz w:val="15"/>
            </w:rPr>
            <w:t>Uso acadêmico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E1E3E6"/>
      </w:pBdr>
    </w:pPr>
    <w:r>
      <w:rPr>
        <w:rFonts w:ascii="Aptos" w:hAnsi="Aptos" w:eastAsia="Aptos"/>
        <w:b/>
        <w:color w:val="666666"/>
        <w:sz w:val="17"/>
      </w:rPr>
      <w:t>FIAP 2026.2  |  C# SOFTWARE DEVELOPMENT  |  3ESPH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