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520" w:line="254" w:lineRule="auto"/>
        <w:jc w:val="center"/>
      </w:pPr>
      <w:r>
        <w:rPr>
          <w:rFonts w:ascii="Aptos" w:hAnsi="Aptos" w:eastAsia="Aptos"/>
          <w:b/>
          <w:i w:val="0"/>
          <w:color w:val="C8102E"/>
          <w:sz w:val="36"/>
        </w:rPr>
        <w:t>FIAP</w:t>
      </w:r>
    </w:p>
    <w:p>
      <w:pPr>
        <w:spacing w:before="0" w:after="60" w:line="254" w:lineRule="auto"/>
        <w:jc w:val="center"/>
      </w:pPr>
      <w:r>
        <w:rPr>
          <w:rFonts w:ascii="Aptos" w:hAnsi="Aptos" w:eastAsia="Aptos"/>
          <w:b/>
          <w:i w:val="0"/>
          <w:color w:val="222222"/>
          <w:sz w:val="54"/>
        </w:rPr>
        <w:t>CHECKPOINT 5</w:t>
      </w:r>
    </w:p>
    <w:p>
      <w:pPr>
        <w:spacing w:before="0" w:after="80" w:line="254" w:lineRule="auto"/>
        <w:jc w:val="center"/>
      </w:pPr>
      <w:r>
        <w:rPr>
          <w:rFonts w:ascii="Aptos" w:hAnsi="Aptos" w:eastAsia="Aptos"/>
          <w:b/>
          <w:i w:val="0"/>
          <w:color w:val="C8102E"/>
          <w:sz w:val="34"/>
        </w:rPr>
        <w:t>TUTORIAL TÉCNICO DE APOIO</w:t>
      </w:r>
    </w:p>
    <w:p>
      <w:pPr>
        <w:spacing w:before="0" w:after="360" w:line="254" w:lineRule="auto"/>
        <w:jc w:val="center"/>
      </w:pPr>
      <w:r>
        <w:rPr>
          <w:rFonts w:ascii="Aptos" w:hAnsi="Aptos" w:eastAsia="Aptos"/>
          <w:b/>
          <w:i w:val="0"/>
          <w:color w:val="666666"/>
          <w:sz w:val="25"/>
        </w:rPr>
        <w:t>Transações locais em C# com SQL Server e Oracle</w:t>
      </w:r>
    </w:p>
    <w:tbl>
      <w:tblPr>
        <w:tblW w:type="auto" w:w="0"/>
        <w:jc w:val="center"/>
        <w:tblLook w:firstColumn="1" w:firstRow="1" w:lastColumn="0" w:lastRow="0" w:noHBand="0" w:noVBand="1" w:val="04A0"/>
      </w:tblPr>
      <w:tblGrid>
        <w:gridCol w:w="10224"/>
      </w:tblGrid>
      <w:tr>
        <w:trPr>
          <w:cantSplit w:val="true"/>
        </w:trPr>
        <w:tc>
          <w:tcPr>
            <w:tcW w:type="dxa" w:w="10224"/>
            <w:shd w:fill="FCECEF"/>
            <w:tcBorders>
              <w:top w:val="single" w:sz="2" w:color="FCECEF"/>
              <w:bottom w:val="single" w:sz="2" w:color="FCECEF"/>
              <w:left w:val="single" w:sz="18" w:color="C8102E"/>
              <w:right w:val="single" w:sz="2" w:color="FCECEF"/>
            </w:tcBorders>
          </w:tcPr>
          <w:p>
            <w:pPr>
              <w:spacing w:after="20"/>
            </w:pPr>
            <w:r>
              <w:rPr>
                <w:rFonts w:ascii="Aptos" w:hAnsi="Aptos" w:eastAsia="Aptos"/>
                <w:b/>
                <w:color w:val="C8102E"/>
                <w:sz w:val="20"/>
              </w:rPr>
              <w:t>OBJETIVO DO MATERIAL</w:t>
            </w:r>
          </w:p>
          <w:p>
            <w:pPr>
              <w:spacing w:after="0" w:line="247" w:lineRule="auto"/>
            </w:pPr>
            <w:r>
              <w:rPr>
                <w:rFonts w:ascii="Aptos" w:hAnsi="Aptos" w:eastAsia="Aptos"/>
                <w:color w:val="222222"/>
                <w:sz w:val="19"/>
              </w:rPr>
              <w:t>Explicar o conceito de transação de forma prática, relacionando o modelo de dados do CP5 ao ciclo BEGIN/COMMIT/ROLLBACK, sem obrigar uma tecnologia única de acesso a dados.</w:t>
            </w:r>
          </w:p>
        </w:tc>
      </w:tr>
    </w:tbl>
    <w:p>
      <w:pPr>
        <w:spacing w:after="0"/>
      </w:pPr>
    </w:p>
    <w:p>
      <w:pPr>
        <w:spacing w:before="320" w:after="40" w:line="254" w:lineRule="auto"/>
        <w:jc w:val="center"/>
      </w:pPr>
      <w:r>
        <w:rPr>
          <w:rFonts w:ascii="Aptos" w:hAnsi="Aptos"/>
          <w:b/>
          <w:color w:val="222222"/>
          <w:sz w:val="22"/>
        </w:rPr>
        <w:t>Base/schema de referência: CP5_RM999999 (exemplo)</w:t>
      </w:r>
    </w:p>
    <w:p>
      <w:pPr>
        <w:spacing w:before="0" w:after="80" w:line="254" w:lineRule="auto"/>
        <w:jc w:val="center"/>
      </w:pPr>
      <w:r>
        <w:rPr>
          <w:rFonts w:ascii="Aptos" w:hAnsi="Aptos" w:eastAsia="Aptos"/>
          <w:b w:val="0"/>
          <w:i w:val="0"/>
          <w:color w:val="666666"/>
          <w:sz w:val="19"/>
        </w:rPr>
        <w:t>SQL Server: database de demonstração | Oracle: schema/usuário de demonstração</w:t>
      </w:r>
    </w:p>
    <w:p>
      <w:r>
        <w:br w:type="page"/>
      </w:r>
    </w:p>
    <w:p>
      <w:pPr>
        <w:keepNext/>
        <w:spacing w:before="180" w:after="60"/>
        <w:pBdr>
          <w:bottom w:val="single" w:sz="8" w:space="1" w:color="C8102E"/>
        </w:pBdr>
      </w:pPr>
      <w:r>
        <w:rPr>
          <w:rFonts w:ascii="Aptos" w:hAnsi="Aptos" w:eastAsia="Aptos"/>
          <w:b/>
          <w:color w:val="C8102E"/>
          <w:sz w:val="28"/>
        </w:rPr>
        <w:t>1. O QUE É UMA TRANSAÇÃO?</w:t>
      </w:r>
    </w:p>
    <w:p>
      <w:pPr>
        <w:spacing w:before="0" w:after="80" w:line="254" w:lineRule="auto"/>
      </w:pPr>
      <w:r>
        <w:rPr>
          <w:rFonts w:ascii="Aptos" w:hAnsi="Aptos" w:eastAsia="Aptos"/>
          <w:b w:val="0"/>
          <w:i w:val="0"/>
          <w:color w:val="222222"/>
          <w:sz w:val="20"/>
        </w:rPr>
        <w:t>Uma transação é uma unidade lógica de trabalho composta por uma ou mais operações que precisam ser tratadas como um único conjunto. Quando todas as etapas terminam corretamente, as alterações são confirmadas com COMMIT. Se alguma etapa falhar, as alterações realizadas naquela transação devem ser desfeitas com ROLLBACK.</w:t>
      </w:r>
    </w:p>
    <w:tbl>
      <w:tblPr>
        <w:tblW w:type="auto" w:w="0"/>
        <w:jc w:val="center"/>
        <w:tblLook w:firstColumn="1" w:firstRow="1" w:lastColumn="0" w:lastRow="0" w:noHBand="0" w:noVBand="1" w:val="04A0"/>
      </w:tblPr>
      <w:tblGrid>
        <w:gridCol w:w="10224"/>
      </w:tblGrid>
      <w:tr>
        <w:trPr>
          <w:cantSplit w:val="true"/>
        </w:trPr>
        <w:tc>
          <w:tcPr>
            <w:tcW w:type="dxa" w:w="10224"/>
            <w:shd w:fill="EAF5EE"/>
            <w:tcBorders>
              <w:top w:val="single" w:sz="2" w:color="EAF5EE"/>
              <w:bottom w:val="single" w:sz="2" w:color="EAF5EE"/>
              <w:left w:val="single" w:sz="18" w:color="2A7A46"/>
              <w:right w:val="single" w:sz="2" w:color="EAF5EE"/>
            </w:tcBorders>
          </w:tcPr>
          <w:p>
            <w:pPr>
              <w:spacing w:after="20"/>
            </w:pPr>
            <w:r>
              <w:rPr>
                <w:rFonts w:ascii="Aptos" w:hAnsi="Aptos" w:eastAsia="Aptos"/>
                <w:b/>
                <w:color w:val="2A7A46"/>
                <w:sz w:val="20"/>
              </w:rPr>
              <w:t>IDEIA CENTRAL</w:t>
            </w:r>
          </w:p>
          <w:p>
            <w:pPr>
              <w:spacing w:after="0" w:line="247" w:lineRule="auto"/>
            </w:pPr>
            <w:r>
              <w:rPr>
                <w:rFonts w:ascii="Aptos" w:hAnsi="Aptos" w:eastAsia="Aptos"/>
                <w:color w:val="222222"/>
                <w:sz w:val="19"/>
              </w:rPr>
              <w:t>Se três comandos representam uma única operação lógica, o estado correto é: todos acontecem ou nenhum permanece.</w:t>
            </w:r>
          </w:p>
        </w:tc>
      </w:tr>
    </w:tbl>
    <w:p>
      <w:pPr>
        <w:spacing w:after="0"/>
      </w:pP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line="240" w:lineRule="auto"/>
            </w:pPr>
            <w:r>
              <w:rPr>
                <w:rFonts w:ascii="Consolas" w:hAnsi="Consolas" w:eastAsia="Consolas"/>
                <w:color w:val="202020"/>
                <w:sz w:val="17"/>
              </w:rPr>
              <w:t>BEGIN TRANSACTION</w:t>
            </w:r>
            <w:r>
              <w:br/>
            </w:r>
            <w:r>
              <w:rPr>
                <w:rFonts w:ascii="Consolas" w:hAnsi="Consolas" w:eastAsia="Consolas"/>
                <w:color w:val="202020"/>
                <w:sz w:val="17"/>
              </w:rPr>
              <w:t xml:space="preserve">    ↓</w:t>
            </w:r>
            <w:r>
              <w:br/>
            </w:r>
            <w:r>
              <w:rPr>
                <w:rFonts w:ascii="Consolas" w:hAnsi="Consolas" w:eastAsia="Consolas"/>
                <w:color w:val="202020"/>
                <w:sz w:val="17"/>
              </w:rPr>
              <w:t>UPDATE conta de origem</w:t>
            </w:r>
            <w:r>
              <w:br/>
            </w:r>
            <w:r>
              <w:rPr>
                <w:rFonts w:ascii="Consolas" w:hAnsi="Consolas" w:eastAsia="Consolas"/>
                <w:color w:val="202020"/>
                <w:sz w:val="17"/>
              </w:rPr>
              <w:t xml:space="preserve">    ↓</w:t>
            </w:r>
            <w:r>
              <w:br/>
            </w:r>
            <w:r>
              <w:rPr>
                <w:rFonts w:ascii="Consolas" w:hAnsi="Consolas" w:eastAsia="Consolas"/>
                <w:color w:val="202020"/>
                <w:sz w:val="17"/>
              </w:rPr>
              <w:t>UPDATE conta de destino</w:t>
            </w:r>
            <w:r>
              <w:br/>
            </w:r>
            <w:r>
              <w:rPr>
                <w:rFonts w:ascii="Consolas" w:hAnsi="Consolas" w:eastAsia="Consolas"/>
                <w:color w:val="202020"/>
                <w:sz w:val="17"/>
              </w:rPr>
              <w:t xml:space="preserve">    ↓</w:t>
            </w:r>
            <w:r>
              <w:br/>
            </w:r>
            <w:r>
              <w:rPr>
                <w:rFonts w:ascii="Consolas" w:hAnsi="Consolas" w:eastAsia="Consolas"/>
                <w:color w:val="202020"/>
                <w:sz w:val="17"/>
              </w:rPr>
              <w:t>INSERT no histórico</w:t>
            </w:r>
            <w:r>
              <w:br/>
            </w:r>
            <w:r>
              <w:rPr>
                <w:rFonts w:ascii="Consolas" w:hAnsi="Consolas" w:eastAsia="Consolas"/>
                <w:color w:val="202020"/>
                <w:sz w:val="17"/>
              </w:rPr>
              <w:t xml:space="preserve">    ↓</w:t>
            </w:r>
            <w:r>
              <w:br/>
            </w:r>
            <w:r>
              <w:rPr>
                <w:rFonts w:ascii="Consolas" w:hAnsi="Consolas" w:eastAsia="Consolas"/>
                <w:color w:val="202020"/>
                <w:sz w:val="17"/>
              </w:rPr>
              <w:t>Tudo certo?</w:t>
            </w:r>
            <w:r>
              <w:br/>
            </w:r>
            <w:r>
              <w:rPr>
                <w:rFonts w:ascii="Consolas" w:hAnsi="Consolas" w:eastAsia="Consolas"/>
                <w:color w:val="202020"/>
                <w:sz w:val="17"/>
              </w:rPr>
              <w:t xml:space="preserve">   ├─ SIM  → COMMIT</w:t>
            </w:r>
            <w:r>
              <w:br/>
            </w:r>
            <w:r>
              <w:rPr>
                <w:rFonts w:ascii="Consolas" w:hAnsi="Consolas" w:eastAsia="Consolas"/>
                <w:color w:val="202020"/>
                <w:sz w:val="17"/>
              </w:rPr>
              <w:t xml:space="preserve">   └─ NÃO  → ROLLBACK</w:t>
            </w:r>
          </w:p>
        </w:tc>
      </w:tr>
    </w:tbl>
    <w:p>
      <w:pPr>
        <w:spacing w:after="0"/>
      </w:pPr>
    </w:p>
    <w:p>
      <w:pPr>
        <w:keepNext/>
        <w:spacing w:before="180" w:after="60"/>
        <w:pBdr>
          <w:bottom w:val="single" w:sz="8" w:space="1" w:color="C8102E"/>
        </w:pBdr>
      </w:pPr>
      <w:r>
        <w:rPr>
          <w:rFonts w:ascii="Aptos" w:hAnsi="Aptos" w:eastAsia="Aptos"/>
          <w:b/>
          <w:color w:val="C8102E"/>
          <w:sz w:val="28"/>
        </w:rPr>
        <w:t>2. ACID — VISÃO NECESSÁRIA PARA O CP5</w:t>
      </w:r>
    </w:p>
    <w:tbl>
      <w:tblPr>
        <w:tblW w:type="auto" w:w="0"/>
        <w:jc w:val="center"/>
        <w:tblLook w:firstColumn="1" w:firstRow="1" w:lastColumn="0" w:lastRow="0" w:noHBand="0" w:noVBand="1" w:val="04A0"/>
      </w:tblPr>
      <w:tblGrid>
        <w:gridCol w:w="5112"/>
        <w:gridCol w:w="5112"/>
      </w:tblGrid>
      <w:tr>
        <w:trPr>
          <w:cantSplit w:val="true"/>
        </w:trPr>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Conceito</w:t>
            </w:r>
          </w:p>
        </w:tc>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Explicação</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A — Atomicidade</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A operação é indivisível: todas as etapas são confirmadas ou todas são desfeitas.</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C — Consistência</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A transação leva o banco de um estado válido para outro estado válido.</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I — Isolamento</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Transações simultâneas devem evitar interferências indevidas entre si.</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D — Durabilidade</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Depois do COMMIT, a alteração confirmada deve permanecer persistida.</w:t>
            </w:r>
          </w:p>
        </w:tc>
      </w:tr>
    </w:tbl>
    <w:p>
      <w:pPr>
        <w:spacing w:after="0"/>
      </w:pPr>
    </w:p>
    <w:tbl>
      <w:tblPr>
        <w:tblW w:type="auto" w:w="0"/>
        <w:jc w:val="center"/>
        <w:tblLook w:firstColumn="1" w:firstRow="1" w:lastColumn="0" w:lastRow="0" w:noHBand="0" w:noVBand="1" w:val="04A0"/>
      </w:tblPr>
      <w:tblGrid>
        <w:gridCol w:w="10224"/>
      </w:tblGrid>
      <w:tr>
        <w:trPr>
          <w:cantSplit w:val="true"/>
        </w:trPr>
        <w:tc>
          <w:tcPr>
            <w:tcW w:type="dxa" w:w="10224"/>
            <w:shd w:fill="FFF6DB"/>
            <w:tcBorders>
              <w:top w:val="single" w:sz="2" w:color="FFF6DB"/>
              <w:bottom w:val="single" w:sz="2" w:color="FFF6DB"/>
              <w:left w:val="single" w:sz="18" w:color="B47A00"/>
              <w:right w:val="single" w:sz="2" w:color="FFF6DB"/>
            </w:tcBorders>
          </w:tcPr>
          <w:p>
            <w:pPr>
              <w:spacing w:after="20"/>
            </w:pPr>
            <w:r>
              <w:rPr>
                <w:rFonts w:ascii="Aptos" w:hAnsi="Aptos" w:eastAsia="Aptos"/>
                <w:b/>
                <w:color w:val="B47A00"/>
                <w:sz w:val="20"/>
              </w:rPr>
              <w:t>NO CP5</w:t>
            </w:r>
          </w:p>
          <w:p>
            <w:pPr>
              <w:spacing w:after="0" w:line="247" w:lineRule="auto"/>
            </w:pPr>
            <w:r>
              <w:rPr>
                <w:rFonts w:ascii="Aptos" w:hAnsi="Aptos" w:eastAsia="Aptos"/>
                <w:color w:val="222222"/>
                <w:sz w:val="19"/>
              </w:rPr>
              <w:t>A propriedade observada mais diretamente será a Atomicidade, porque o teste de falha deverá mostrar que o ROLLBACK elimina alterações parciais.</w:t>
            </w:r>
          </w:p>
        </w:tc>
      </w:tr>
    </w:tbl>
    <w:p>
      <w:pPr>
        <w:spacing w:after="0"/>
      </w:pPr>
    </w:p>
    <w:p>
      <w:pPr>
        <w:keepNext/>
        <w:spacing w:before="180" w:after="60"/>
        <w:pBdr>
          <w:bottom w:val="single" w:sz="8" w:space="1" w:color="C8102E"/>
        </w:pBdr>
      </w:pPr>
      <w:r>
        <w:rPr>
          <w:rFonts w:ascii="Aptos" w:hAnsi="Aptos" w:eastAsia="Aptos"/>
          <w:b/>
          <w:color w:val="C8102E"/>
          <w:sz w:val="28"/>
        </w:rPr>
        <w:t>3. MODELO DE DADOS ADOTADO</w:t>
      </w:r>
    </w:p>
    <w:p>
      <w:pPr>
        <w:spacing w:before="0" w:after="80" w:line="254" w:lineRule="auto"/>
      </w:pPr>
      <w:r>
        <w:rPr>
          <w:rFonts w:ascii="Aptos" w:hAnsi="Aptos" w:eastAsia="Aptos"/>
          <w:b w:val="0"/>
          <w:i w:val="0"/>
          <w:color w:val="222222"/>
          <w:sz w:val="20"/>
        </w:rPr>
        <w:t>Para tornar o exercício mais próximo de uma aplicação real sem aumentar demais a complexidade, a base de demonstração possui quatro tabelas: CLIENTE, TIPO_CONTA, CONTA e TRANSFERENCIA.</w:t>
      </w:r>
    </w:p>
    <w:p>
      <w:pPr>
        <w:spacing w:after="40"/>
        <w:jc w:val="center"/>
      </w:pPr>
      <w:r>
        <w:drawing>
          <wp:inline xmlns:a="http://schemas.openxmlformats.org/drawingml/2006/main" xmlns:pic="http://schemas.openxmlformats.org/drawingml/2006/picture">
            <wp:extent cx="6172200" cy="3518452"/>
            <wp:docPr id="1" name="Picture 1"/>
            <wp:cNvGraphicFramePr>
              <a:graphicFrameLocks noChangeAspect="1"/>
            </wp:cNvGraphicFramePr>
            <a:graphic>
              <a:graphicData uri="http://schemas.openxmlformats.org/drawingml/2006/picture">
                <pic:pic>
                  <pic:nvPicPr>
                    <pic:cNvPr id="0" name="CP5_TRANSACOES_DEMO - CP5_TRANSACOES_DEMO - dbo_v3.png"/>
                    <pic:cNvPicPr/>
                  </pic:nvPicPr>
                  <pic:blipFill>
                    <a:blip r:embed="rId11"/>
                    <a:stretch>
                      <a:fillRect/>
                    </a:stretch>
                  </pic:blipFill>
                  <pic:spPr>
                    <a:xfrm>
                      <a:off x="0" y="0"/>
                      <a:ext cx="6172200" cy="3518452"/>
                    </a:xfrm>
                    <a:prstGeom prst="rect"/>
                  </pic:spPr>
                </pic:pic>
              </a:graphicData>
            </a:graphic>
          </wp:inline>
        </w:drawing>
      </w:r>
    </w:p>
    <w:p>
      <w:pPr>
        <w:spacing w:before="0" w:after="100" w:line="254" w:lineRule="auto"/>
        <w:jc w:val="center"/>
      </w:pPr>
      <w:r>
        <w:rPr>
          <w:rFonts w:ascii="Aptos" w:hAnsi="Aptos" w:eastAsia="Aptos"/>
          <w:b w:val="0"/>
          <w:i/>
          <w:color w:val="666666"/>
          <w:sz w:val="17"/>
        </w:rPr>
        <w:t>Figura 1 — Modelo relacional oficial do CP5 (SQL Server / DBeaver).</w:t>
      </w:r>
    </w:p>
    <w:tbl>
      <w:tblPr>
        <w:tblW w:type="auto" w:w="0"/>
        <w:jc w:val="center"/>
        <w:tblLook w:firstColumn="1" w:firstRow="1" w:lastColumn="0" w:lastRow="0" w:noHBand="0" w:noVBand="1" w:val="04A0"/>
      </w:tblPr>
      <w:tblGrid>
        <w:gridCol w:w="5112"/>
        <w:gridCol w:w="5112"/>
      </w:tblGrid>
      <w:tr>
        <w:trPr>
          <w:cantSplit w:val="true"/>
        </w:trPr>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Conceito</w:t>
            </w:r>
          </w:p>
        </w:tc>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Explicação</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CLIENTE</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Representa o titular. Um cliente pode possuir uma ou mais contas.</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TIPO_CONTA</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Tabela de domínio para classificar a conta, como Conta Corrente ou Conta Poupança.</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CONTA</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Armazena número, saldo, situação e os relacionamentos com CLIENTE e TIPO_CONTA.</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TRANSFERENCIA</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Registra conta de origem, conta de destino, valor, data e observação.</w:t>
            </w:r>
          </w:p>
        </w:tc>
      </w:tr>
    </w:tbl>
    <w:p>
      <w:pPr>
        <w:spacing w:after="0"/>
      </w:pPr>
    </w:p>
    <w:p>
      <w:pPr>
        <w:keepNext/>
        <w:spacing w:before="180" w:after="60"/>
        <w:pBdr>
          <w:bottom w:val="single" w:sz="8" w:space="1" w:color="C8102E"/>
        </w:pBdr>
      </w:pPr>
      <w:r>
        <w:rPr>
          <w:rFonts w:ascii="Aptos" w:hAnsi="Aptos" w:eastAsia="Aptos"/>
          <w:b/>
          <w:color w:val="C8102E"/>
          <w:sz w:val="28"/>
        </w:rPr>
        <w:t>4. COMO LER OS RELACIONAMENTOS</w:t>
      </w:r>
    </w:p>
    <w:p>
      <w:pPr>
        <w:pStyle w:val="ListBullet"/>
        <w:spacing w:after="44" w:line="247" w:lineRule="auto"/>
      </w:pPr>
      <w:r>
        <w:rPr>
          <w:rFonts w:ascii="Aptos" w:hAnsi="Aptos" w:eastAsia="Aptos"/>
          <w:color w:val="222222"/>
          <w:sz w:val="19"/>
        </w:rPr>
        <w:t>CLIENTE 1:N CONTA — um cliente pode possuir várias contas; cada conta pertence a um cliente.</w:t>
      </w:r>
    </w:p>
    <w:p>
      <w:pPr>
        <w:pStyle w:val="ListBullet"/>
        <w:spacing w:after="44" w:line="247" w:lineRule="auto"/>
      </w:pPr>
      <w:r>
        <w:rPr>
          <w:rFonts w:ascii="Aptos" w:hAnsi="Aptos" w:eastAsia="Aptos"/>
          <w:color w:val="222222"/>
          <w:sz w:val="19"/>
        </w:rPr>
        <w:t>TIPO_CONTA 1:N CONTA — um tipo de conta pode classificar várias contas; cada conta possui um tipo.</w:t>
      </w:r>
    </w:p>
    <w:p>
      <w:pPr>
        <w:pStyle w:val="ListBullet"/>
        <w:spacing w:after="44" w:line="247" w:lineRule="auto"/>
      </w:pPr>
      <w:r>
        <w:rPr>
          <w:rFonts w:ascii="Aptos" w:hAnsi="Aptos" w:eastAsia="Aptos"/>
          <w:color w:val="222222"/>
          <w:sz w:val="19"/>
        </w:rPr>
        <w:t>CONTA 1:N TRANSFERENCIA (origem) — uma conta pode ser origem de várias transferências.</w:t>
      </w:r>
    </w:p>
    <w:p>
      <w:pPr>
        <w:pStyle w:val="ListBullet"/>
        <w:spacing w:after="44" w:line="247" w:lineRule="auto"/>
      </w:pPr>
      <w:r>
        <w:rPr>
          <w:rFonts w:ascii="Aptos" w:hAnsi="Aptos" w:eastAsia="Aptos"/>
          <w:color w:val="222222"/>
          <w:sz w:val="19"/>
        </w:rPr>
        <w:t>CONTA 1:N TRANSFERENCIA (destino) — uma conta pode ser destino de várias transferências.</w:t>
      </w:r>
    </w:p>
    <w:tbl>
      <w:tblPr>
        <w:tblW w:type="auto" w:w="0"/>
        <w:jc w:val="center"/>
        <w:tblLook w:firstColumn="1" w:firstRow="1" w:lastColumn="0" w:lastRow="0" w:noHBand="0" w:noVBand="1" w:val="04A0"/>
      </w:tblPr>
      <w:tblGrid>
        <w:gridCol w:w="10224"/>
      </w:tblGrid>
      <w:tr>
        <w:trPr>
          <w:cantSplit w:val="true"/>
        </w:trPr>
        <w:tc>
          <w:tcPr>
            <w:tcW w:type="dxa" w:w="10224"/>
            <w:shd w:fill="EAF2FA"/>
            <w:tcBorders>
              <w:top w:val="single" w:sz="2" w:color="EAF2FA"/>
              <w:bottom w:val="single" w:sz="2" w:color="EAF2FA"/>
              <w:left w:val="single" w:sz="18" w:color="2F6F9F"/>
              <w:right w:val="single" w:sz="2" w:color="EAF2FA"/>
            </w:tcBorders>
          </w:tcPr>
          <w:p>
            <w:pPr>
              <w:spacing w:after="20"/>
            </w:pPr>
            <w:r>
              <w:rPr>
                <w:rFonts w:ascii="Aptos" w:hAnsi="Aptos" w:eastAsia="Aptos"/>
                <w:b/>
                <w:color w:val="2F6F9F"/>
                <w:sz w:val="20"/>
              </w:rPr>
              <w:t>DUAS FKs PARA A MESMA TABELA</w:t>
            </w:r>
          </w:p>
          <w:p>
            <w:pPr>
              <w:spacing w:after="0" w:line="247" w:lineRule="auto"/>
            </w:pPr>
            <w:r>
              <w:rPr>
                <w:rFonts w:ascii="Aptos" w:hAnsi="Aptos" w:eastAsia="Aptos"/>
                <w:color w:val="222222"/>
                <w:sz w:val="19"/>
              </w:rPr>
              <w:t>TRANSFERENCIA aponta duas vezes para CONTA: ContaOrigemId e ContaDestinoId. Isso é intencional e representa papéis diferentes da mesma entidade.</w:t>
            </w:r>
          </w:p>
        </w:tc>
      </w:tr>
    </w:tbl>
    <w:p>
      <w:pPr>
        <w:spacing w:after="0"/>
      </w:pPr>
    </w:p>
    <w:p>
      <w:pPr>
        <w:keepNext/>
        <w:spacing w:before="180" w:after="60"/>
        <w:pBdr>
          <w:bottom w:val="single" w:sz="8" w:space="1" w:color="C8102E"/>
        </w:pBdr>
      </w:pPr>
      <w:r>
        <w:rPr>
          <w:rFonts w:ascii="Aptos" w:hAnsi="Aptos" w:eastAsia="Aptos"/>
          <w:b/>
          <w:color w:val="C8102E"/>
          <w:sz w:val="28"/>
        </w:rPr>
        <w:t>5. A TRANSAÇÃO NO SQL SERVER</w:t>
      </w:r>
    </w:p>
    <w:p>
      <w:pPr>
        <w:spacing w:before="0" w:after="80" w:line="254" w:lineRule="auto"/>
      </w:pPr>
      <w:r>
        <w:rPr>
          <w:rFonts w:ascii="Aptos" w:hAnsi="Aptos" w:eastAsia="Aptos"/>
          <w:b w:val="0"/>
          <w:i w:val="0"/>
          <w:color w:val="222222"/>
          <w:sz w:val="20"/>
        </w:rPr>
        <w:t>No SQL Server, uma demonstração manual pode ser feita com BEGIN TRANSACTION, COMMIT TRANSACTION e ROLLBACK TRANSACTION.</w:t>
      </w:r>
    </w:p>
    <w:p>
      <w:pPr>
        <w:spacing w:before="0" w:after="40" w:line="254" w:lineRule="auto"/>
      </w:pPr>
      <w:r>
        <w:rPr>
          <w:rFonts w:ascii="Aptos" w:hAnsi="Aptos" w:eastAsia="Aptos"/>
          <w:b/>
          <w:i w:val="0"/>
          <w:color w:val="222222"/>
          <w:sz w:val="19"/>
        </w:rPr>
        <w:t>Exemplo didático — caso de sucesso</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pPr>
            <w:r>
              <w:rPr>
                <w:rFonts w:ascii="Consolas" w:hAnsi="Consolas"/>
                <w:sz w:val="17"/>
              </w:rPr>
              <w:t>BEGIN TRANSACTION;</w:t>
              <w:br/>
              <w:br/>
              <w:t>UPDATE Conta</w:t>
              <w:br/>
              <w:t>SET Saldo = Saldo - 200.00</w:t>
              <w:br/>
              <w:t>WHERE Numero = 'CC-1001';</w:t>
              <w:br/>
              <w:br/>
              <w:t>UPDATE Conta</w:t>
              <w:br/>
              <w:t>SET Saldo = Saldo + 200.00</w:t>
              <w:br/>
              <w:t>WHERE Numero = 'CC-1002';</w:t>
              <w:br/>
              <w:br/>
              <w:t>INSERT INTO Transferencia</w:t>
              <w:br/>
              <w:t xml:space="preserve">    (ContaOrigemId, ContaDestinoId, Valor, Observacao)</w:t>
              <w:br/>
              <w:t>SELECT O.Id, D.Id, 200.00, 'Demonstracao'</w:t>
              <w:br/>
              <w:t>FROM Conta O CROSS JOIN Conta D</w:t>
              <w:br/>
              <w:t>WHERE O.Numero = 'CC-1001' AND D.Numero = 'CC-1002';</w:t>
              <w:br/>
              <w:br/>
              <w:t>COMMIT TRANSACTION;</w:t>
            </w:r>
          </w:p>
        </w:tc>
      </w:tr>
    </w:tbl>
    <w:p>
      <w:pPr>
        <w:spacing w:after="0"/>
      </w:pPr>
    </w:p>
    <w:p>
      <w:pPr>
        <w:spacing w:before="0" w:after="80" w:line="254" w:lineRule="auto"/>
      </w:pPr>
      <w:r>
        <w:rPr>
          <w:rFonts w:ascii="Aptos" w:hAnsi="Aptos" w:eastAsia="Aptos"/>
          <w:b w:val="0"/>
          <w:i w:val="0"/>
          <w:color w:val="222222"/>
          <w:sz w:val="20"/>
        </w:rPr>
        <w:t>Para demonstrar o desfazimento:</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pPr>
            <w:r>
              <w:rPr>
                <w:rFonts w:ascii="Consolas" w:hAnsi="Consolas"/>
                <w:sz w:val="17"/>
              </w:rPr>
              <w:t>BEGIN TRANSACTION;</w:t>
              <w:br/>
              <w:br/>
              <w:t>UPDATE Conta</w:t>
              <w:br/>
              <w:t>SET Saldo = Saldo - 200.00</w:t>
              <w:br/>
              <w:t>WHERE Numero = 'CC-1001';</w:t>
              <w:br/>
              <w:br/>
              <w:t>-- suponha uma falha antes das demais etapas</w:t>
              <w:br/>
              <w:br/>
              <w:t>ROLLBACK TRANSACTION;</w:t>
            </w:r>
          </w:p>
        </w:tc>
      </w:tr>
    </w:tbl>
    <w:p>
      <w:pPr>
        <w:spacing w:after="0"/>
      </w:pPr>
    </w:p>
    <w:p>
      <w:r>
        <w:br w:type="page"/>
      </w:r>
    </w:p>
    <w:p>
      <w:pPr>
        <w:keepNext/>
        <w:spacing w:before="180" w:after="60"/>
        <w:pBdr>
          <w:bottom w:val="single" w:sz="8" w:space="1" w:color="C8102E"/>
        </w:pBdr>
      </w:pPr>
      <w:r>
        <w:rPr>
          <w:rFonts w:ascii="Aptos" w:hAnsi="Aptos" w:eastAsia="Aptos"/>
          <w:b/>
          <w:color w:val="C8102E"/>
          <w:sz w:val="28"/>
        </w:rPr>
        <w:t>6. A TRANSAÇÃO NO ORACLE</w:t>
      </w:r>
    </w:p>
    <w:p>
      <w:pPr>
        <w:spacing w:before="0" w:after="80" w:line="254" w:lineRule="auto"/>
      </w:pPr>
      <w:r>
        <w:rPr>
          <w:rFonts w:ascii="Aptos" w:hAnsi="Aptos" w:eastAsia="Aptos"/>
          <w:b w:val="0"/>
          <w:i w:val="0"/>
          <w:color w:val="222222"/>
          <w:sz w:val="20"/>
        </w:rPr>
        <w:t>No Oracle, os comandos DML participam da transação da sessão até que seja executado COMMIT ou ROLLBACK. Por isso, a forma textual é diferente, embora o conceito seja o mesmo.</w:t>
      </w:r>
    </w:p>
    <w:p>
      <w:r>
        <w:rPr>
          <w:rFonts w:ascii="Aptos" w:hAnsi="Aptos"/>
          <w:color w:val="222222"/>
          <w:sz w:val="20"/>
        </w:rPr>
        <w:t>No Oracle XE 21c local usado na validação do material, o usuário/schema do CP5 precisou dos privilégios CREATE SESSION, CREATE TABLE e CREATE SEQUENCE, além de quota no tablespace USERS. O CREATE SEQUENCE foi necessário para a estratégia de colunas IDENTITY adotada no script de referência.</w:t>
      </w:r>
    </w:p>
    <w:p>
      <w:pPr/>
      <w:r>
        <w:rPr>
          <w:rFonts w:ascii="Aptos" w:hAnsi="Aptos"/>
          <w:color w:val="222222"/>
          <w:sz w:val="20"/>
        </w:rPr>
        <w:t>O script S00_Oracle_XE_Local_Preparar_Usuario_CP5.sql é opcional e exclusivo para Oracle XE local quando houver acesso administrativo. Em ambiente institucional, utilize o schema/usuário fornecido e não tente executar o S00 como SYSTEM.</w:t>
      </w:r>
    </w:p>
    <w:p>
      <w:pPr>
        <w:spacing w:before="0" w:after="40" w:line="254" w:lineRule="auto"/>
      </w:pPr>
      <w:r>
        <w:rPr>
          <w:rFonts w:ascii="Aptos" w:hAnsi="Aptos" w:eastAsia="Aptos"/>
          <w:b/>
          <w:i w:val="0"/>
          <w:color w:val="222222"/>
          <w:sz w:val="19"/>
        </w:rPr>
        <w:t>Exemplo didático — caso de sucesso</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pPr>
            <w:r>
              <w:rPr>
                <w:rFonts w:ascii="Consolas" w:hAnsi="Consolas"/>
                <w:sz w:val="17"/>
              </w:rPr>
              <w:t>UPDATE CONTA</w:t>
              <w:br/>
              <w:t>SET SALDO = SALDO - 200.00</w:t>
              <w:br/>
              <w:t>WHERE NUMERO = 'CC-1001';</w:t>
              <w:br/>
              <w:br/>
              <w:t>UPDATE CONTA</w:t>
              <w:br/>
              <w:t>SET SALDO = SALDO + 200.00</w:t>
              <w:br/>
              <w:t>WHERE NUMERO = 'CC-1002';</w:t>
              <w:br/>
              <w:br/>
              <w:t>INSERT INTO TRANSFERENCIA</w:t>
              <w:br/>
              <w:t xml:space="preserve">    (CONTA_ORIGEM_ID, CONTA_DESTINO_ID, VALOR, OBSERVACAO)</w:t>
              <w:br/>
              <w:t>SELECT O.ID, D.ID, 200.00, 'Demonstracao'</w:t>
              <w:br/>
              <w:t>FROM CONTA O CROSS JOIN CONTA D</w:t>
              <w:br/>
              <w:t>WHERE O.NUMERO = 'CC-1001' AND D.NUMERO = 'CC-1002';</w:t>
              <w:br/>
              <w:br/>
              <w:t>COMMIT;</w:t>
            </w:r>
          </w:p>
        </w:tc>
      </w:tr>
    </w:tbl>
    <w:p>
      <w:pPr>
        <w:spacing w:after="0"/>
      </w:pPr>
    </w:p>
    <w:p>
      <w:pPr>
        <w:spacing w:before="0" w:after="40" w:line="254" w:lineRule="auto"/>
      </w:pPr>
      <w:r>
        <w:rPr>
          <w:rFonts w:ascii="Aptos" w:hAnsi="Aptos" w:eastAsia="Aptos"/>
          <w:b/>
          <w:i w:val="0"/>
          <w:color w:val="222222"/>
          <w:sz w:val="19"/>
        </w:rPr>
        <w:t>Exemplo didático — caso de falha</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pPr>
            <w:r>
              <w:rPr>
                <w:rFonts w:ascii="Consolas" w:hAnsi="Consolas"/>
                <w:sz w:val="17"/>
              </w:rPr>
              <w:t>UPDATE CONTA</w:t>
              <w:br/>
              <w:t>SET SALDO = SALDO - 200.00</w:t>
              <w:br/>
              <w:t>WHERE NUMERO = 'CC-1001';</w:t>
              <w:br/>
              <w:br/>
              <w:t>-- suponha uma falha antes das demais etapas</w:t>
              <w:br/>
              <w:br/>
              <w:t>ROLLBACK;</w:t>
            </w:r>
          </w:p>
        </w:tc>
      </w:tr>
    </w:tbl>
    <w:p>
      <w:pPr>
        <w:spacing w:after="0"/>
      </w:pPr>
    </w:p>
    <w:tbl>
      <w:tblPr>
        <w:tblW w:type="auto" w:w="0"/>
        <w:jc w:val="center"/>
        <w:tblLook w:firstColumn="1" w:firstRow="1" w:lastColumn="0" w:lastRow="0" w:noHBand="0" w:noVBand="1" w:val="04A0"/>
      </w:tblPr>
      <w:tblGrid>
        <w:gridCol w:w="10224"/>
      </w:tblGrid>
      <w:tr>
        <w:trPr>
          <w:cantSplit w:val="true"/>
        </w:trPr>
        <w:tc>
          <w:tcPr>
            <w:tcW w:type="dxa" w:w="10224"/>
            <w:shd w:fill="FFF6DB"/>
            <w:tcBorders>
              <w:top w:val="single" w:sz="2" w:color="FFF6DB"/>
              <w:bottom w:val="single" w:sz="2" w:color="FFF6DB"/>
              <w:left w:val="single" w:sz="18" w:color="B47A00"/>
              <w:right w:val="single" w:sz="2" w:color="FFF6DB"/>
            </w:tcBorders>
          </w:tcPr>
          <w:p>
            <w:pPr>
              <w:spacing w:after="20"/>
            </w:pPr>
            <w:r>
              <w:rPr>
                <w:rFonts w:ascii="Aptos" w:hAnsi="Aptos" w:eastAsia="Aptos"/>
                <w:b/>
                <w:color w:val="B47A00"/>
                <w:sz w:val="20"/>
              </w:rPr>
              <w:t>ATENÇÃO AO CLIENTE SQL</w:t>
            </w:r>
          </w:p>
          <w:p>
            <w:pPr>
              <w:spacing w:after="0" w:line="247" w:lineRule="auto"/>
            </w:pPr>
            <w:r>
              <w:rPr>
                <w:rFonts w:ascii="Aptos" w:hAnsi="Aptos" w:eastAsia="Aptos"/>
                <w:color w:val="222222"/>
                <w:sz w:val="19"/>
              </w:rPr>
              <w:t>Para demonstrar ROLLBACK manualmente no DBeaver ou Valentina, o Auto-commit deve estar DESATIVADO. Com Auto-commit ativo, um UPDATE pode ser confirmado antes do ROLLBACK e invalidar o teste.</w:t>
            </w:r>
          </w:p>
        </w:tc>
      </w:tr>
    </w:tbl>
    <w:p>
      <w:pPr>
        <w:spacing w:after="0"/>
      </w:pPr>
    </w:p>
    <w:p>
      <w:r>
        <w:br w:type="page"/>
      </w:r>
    </w:p>
    <w:p>
      <w:pPr>
        <w:keepNext/>
        <w:spacing w:before="180" w:after="60"/>
        <w:pBdr>
          <w:bottom w:val="single" w:sz="8" w:space="1" w:color="C8102E"/>
        </w:pBdr>
      </w:pPr>
      <w:r>
        <w:rPr>
          <w:rFonts w:ascii="Aptos" w:hAnsi="Aptos" w:eastAsia="Aptos"/>
          <w:b/>
          <w:color w:val="C8102E"/>
          <w:sz w:val="28"/>
        </w:rPr>
        <w:t>7. ADO.NET — ABORDAGEM APRESENTADA EM AULA</w:t>
      </w:r>
    </w:p>
    <w:p>
      <w:pPr>
        <w:spacing w:before="0" w:after="80" w:line="254" w:lineRule="auto"/>
      </w:pPr>
      <w:r>
        <w:rPr>
          <w:rFonts w:ascii="Aptos" w:hAnsi="Aptos" w:eastAsia="Aptos"/>
          <w:b w:val="0"/>
          <w:i w:val="0"/>
          <w:color w:val="222222"/>
          <w:sz w:val="20"/>
        </w:rPr>
        <w:t>ADO.NET deixa o ciclo transacional bastante visível. Por isso é uma boa tecnologia para estudar o conceito: abrir conexão, iniciar transação, associar comandos à mesma transação e então confirmar ou desfazer.</w:t>
      </w:r>
    </w:p>
    <w:p>
      <w:pPr/>
      <w:r>
        <w:rPr>
          <w:rFonts w:ascii="Aptos" w:hAnsi="Aptos"/>
          <w:b w:val="0"/>
          <w:i w:val="0"/>
          <w:color w:val="222222"/>
          <w:sz w:val="20"/>
        </w:rPr>
        <w:t>Ambiente de referência recomendado para o CP5: .NET 9. ADO.NET e EF Core básico são caminhos suficientes; outras bibliotecas equivalentes são permitidas, mas não rendem pontos extras.</w:t>
      </w:r>
    </w:p>
    <w:p>
      <w:pPr>
        <w:spacing w:before="0" w:after="40" w:line="254" w:lineRule="auto"/>
      </w:pPr>
      <w:r>
        <w:rPr>
          <w:rFonts w:ascii="Aptos" w:hAnsi="Aptos" w:eastAsia="Aptos"/>
          <w:b/>
          <w:i w:val="0"/>
          <w:color w:val="222222"/>
          <w:sz w:val="19"/>
        </w:rPr>
        <w:t>Estrutura conceitual — SQL Server com ADO.NET</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line="240" w:lineRule="auto"/>
            </w:pPr>
            <w:r>
              <w:rPr>
                <w:rFonts w:ascii="Consolas" w:hAnsi="Consolas" w:eastAsia="Consolas"/>
                <w:color w:val="202020"/>
                <w:sz w:val="17"/>
              </w:rPr>
              <w:t>await using var connection = new SqlConnection(connectionString);</w:t>
            </w:r>
            <w:r>
              <w:br/>
            </w:r>
            <w:r>
              <w:rPr>
                <w:rFonts w:ascii="Consolas" w:hAnsi="Consolas" w:eastAsia="Consolas"/>
                <w:color w:val="202020"/>
                <w:sz w:val="17"/>
              </w:rPr>
              <w:t>await connection.OpenAsync();</w:t>
            </w:r>
            <w:r>
              <w:br/>
            </w:r>
            <w:r>
              <w:rPr>
                <w:rFonts w:ascii="Consolas" w:hAnsi="Consolas" w:eastAsia="Consolas"/>
                <w:color w:val="202020"/>
                <w:sz w:val="17"/>
              </w:rPr>
            </w:r>
            <w:r>
              <w:br/>
            </w:r>
            <w:r>
              <w:rPr>
                <w:rFonts w:ascii="Consolas" w:hAnsi="Consolas" w:eastAsia="Consolas"/>
                <w:color w:val="202020"/>
                <w:sz w:val="17"/>
              </w:rPr>
              <w:t>await using var transaction = await connection.BeginTransactionAsync();</w:t>
            </w:r>
            <w:r>
              <w:br/>
            </w:r>
            <w:r>
              <w:rPr>
                <w:rFonts w:ascii="Consolas" w:hAnsi="Consolas" w:eastAsia="Consolas"/>
                <w:color w:val="202020"/>
                <w:sz w:val="17"/>
              </w:rPr>
            </w:r>
            <w:r>
              <w:br/>
            </w:r>
            <w:r>
              <w:rPr>
                <w:rFonts w:ascii="Consolas" w:hAnsi="Consolas" w:eastAsia="Consolas"/>
                <w:color w:val="202020"/>
                <w:sz w:val="17"/>
              </w:rPr>
              <w:t>try</w:t>
            </w:r>
            <w:r>
              <w:br/>
            </w:r>
            <w:r>
              <w:rPr>
                <w:rFonts w:ascii="Consolas" w:hAnsi="Consolas" w:eastAsia="Consolas"/>
                <w:color w:val="202020"/>
                <w:sz w:val="17"/>
              </w:rPr>
              <w:t>{</w:t>
            </w:r>
            <w:r>
              <w:br/>
            </w:r>
            <w:r>
              <w:rPr>
                <w:rFonts w:ascii="Consolas" w:hAnsi="Consolas" w:eastAsia="Consolas"/>
                <w:color w:val="202020"/>
                <w:sz w:val="17"/>
              </w:rPr>
              <w:t xml:space="preserve">    // comando 1 usando a mesma connection/transaction</w:t>
            </w:r>
            <w:r>
              <w:br/>
            </w:r>
            <w:r>
              <w:rPr>
                <w:rFonts w:ascii="Consolas" w:hAnsi="Consolas" w:eastAsia="Consolas"/>
                <w:color w:val="202020"/>
                <w:sz w:val="17"/>
              </w:rPr>
              <w:t xml:space="preserve">    // comando 2 usando a mesma connection/transaction</w:t>
            </w:r>
            <w:r>
              <w:br/>
            </w:r>
            <w:r>
              <w:rPr>
                <w:rFonts w:ascii="Consolas" w:hAnsi="Consolas" w:eastAsia="Consolas"/>
                <w:color w:val="202020"/>
                <w:sz w:val="17"/>
              </w:rPr>
              <w:t xml:space="preserve">    // comando 3 usando a mesma connection/transaction</w:t>
            </w:r>
            <w:r>
              <w:br/>
            </w:r>
            <w:r>
              <w:rPr>
                <w:rFonts w:ascii="Consolas" w:hAnsi="Consolas" w:eastAsia="Consolas"/>
                <w:color w:val="202020"/>
                <w:sz w:val="17"/>
              </w:rPr>
            </w:r>
            <w:r>
              <w:br/>
            </w:r>
            <w:r>
              <w:rPr>
                <w:rFonts w:ascii="Consolas" w:hAnsi="Consolas" w:eastAsia="Consolas"/>
                <w:color w:val="202020"/>
                <w:sz w:val="17"/>
              </w:rPr>
              <w:t xml:space="preserve">    await transaction.CommitAsync();</w:t>
            </w:r>
            <w:r>
              <w:br/>
            </w:r>
            <w:r>
              <w:rPr>
                <w:rFonts w:ascii="Consolas" w:hAnsi="Consolas" w:eastAsia="Consolas"/>
                <w:color w:val="202020"/>
                <w:sz w:val="17"/>
              </w:rPr>
              <w:t>}</w:t>
            </w:r>
            <w:r>
              <w:br/>
            </w:r>
            <w:r>
              <w:rPr>
                <w:rFonts w:ascii="Consolas" w:hAnsi="Consolas" w:eastAsia="Consolas"/>
                <w:color w:val="202020"/>
                <w:sz w:val="17"/>
              </w:rPr>
              <w:t>catch</w:t>
            </w:r>
            <w:r>
              <w:br/>
            </w:r>
            <w:r>
              <w:rPr>
                <w:rFonts w:ascii="Consolas" w:hAnsi="Consolas" w:eastAsia="Consolas"/>
                <w:color w:val="202020"/>
                <w:sz w:val="17"/>
              </w:rPr>
              <w:t>{</w:t>
            </w:r>
            <w:r>
              <w:br/>
            </w:r>
            <w:r>
              <w:rPr>
                <w:rFonts w:ascii="Consolas" w:hAnsi="Consolas" w:eastAsia="Consolas"/>
                <w:color w:val="202020"/>
                <w:sz w:val="17"/>
              </w:rPr>
              <w:t xml:space="preserve">    await transaction.RollbackAsync();</w:t>
            </w:r>
            <w:r>
              <w:br/>
            </w:r>
            <w:r>
              <w:rPr>
                <w:rFonts w:ascii="Consolas" w:hAnsi="Consolas" w:eastAsia="Consolas"/>
                <w:color w:val="202020"/>
                <w:sz w:val="17"/>
              </w:rPr>
              <w:t xml:space="preserve">    throw;</w:t>
            </w:r>
            <w:r>
              <w:br/>
            </w:r>
            <w:r>
              <w:rPr>
                <w:rFonts w:ascii="Consolas" w:hAnsi="Consolas" w:eastAsia="Consolas"/>
                <w:color w:val="202020"/>
                <w:sz w:val="17"/>
              </w:rPr>
              <w:t>}</w:t>
            </w:r>
          </w:p>
        </w:tc>
      </w:tr>
    </w:tbl>
    <w:p>
      <w:pPr>
        <w:spacing w:after="0"/>
      </w:pPr>
    </w:p>
    <w:p>
      <w:pPr>
        <w:spacing w:before="0" w:after="80" w:line="254" w:lineRule="auto"/>
      </w:pPr>
      <w:r>
        <w:rPr>
          <w:rFonts w:ascii="Aptos" w:hAnsi="Aptos" w:eastAsia="Aptos"/>
          <w:b w:val="0"/>
          <w:i w:val="0"/>
          <w:color w:val="222222"/>
          <w:sz w:val="20"/>
        </w:rPr>
        <w:t>No Oracle, a estrutura é equivalente utilizando o provider Oracle escolhido. O importante não é decorar nomes de classes, e sim garantir que os comandos usem a mesma conexão e a mesma transação.</w:t>
      </w:r>
    </w:p>
    <w:p>
      <w:r>
        <w:br w:type="page"/>
      </w:r>
    </w:p>
    <w:p>
      <w:pPr>
        <w:keepNext/>
        <w:spacing w:before="180" w:after="60"/>
        <w:pBdr>
          <w:bottom w:val="single" w:sz="8" w:space="1" w:color="C8102E"/>
        </w:pBdr>
      </w:pPr>
      <w:r>
        <w:rPr>
          <w:rFonts w:ascii="Aptos" w:hAnsi="Aptos" w:eastAsia="Aptos"/>
          <w:b/>
          <w:color w:val="C8102E"/>
          <w:sz w:val="28"/>
        </w:rPr>
        <w:t>8. ENTITY FRAMEWORK CORE — ALTERNATIVA PERMITIDA</w:t>
      </w:r>
    </w:p>
    <w:p>
      <w:pPr>
        <w:spacing w:before="0" w:after="80" w:line="254" w:lineRule="auto"/>
      </w:pPr>
      <w:r>
        <w:rPr>
          <w:rFonts w:ascii="Aptos" w:hAnsi="Aptos" w:eastAsia="Aptos"/>
          <w:b w:val="0"/>
          <w:i w:val="0"/>
          <w:color w:val="222222"/>
          <w:sz w:val="20"/>
        </w:rPr>
        <w:t>O CP5 não obriga ADO.NET. Se o grupo optar por Entity Framework Core, a transação explícita também pode ser usada. A tecnologia muda, mas o comportamento exigido é o mesmo.</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line="240" w:lineRule="auto"/>
            </w:pPr>
            <w:r>
              <w:rPr>
                <w:rFonts w:ascii="Consolas" w:hAnsi="Consolas" w:eastAsia="Consolas"/>
                <w:color w:val="202020"/>
                <w:sz w:val="17"/>
              </w:rPr>
              <w:t>await using var transaction =</w:t>
            </w:r>
            <w:r>
              <w:br/>
            </w:r>
            <w:r>
              <w:rPr>
                <w:rFonts w:ascii="Consolas" w:hAnsi="Consolas" w:eastAsia="Consolas"/>
                <w:color w:val="202020"/>
                <w:sz w:val="17"/>
              </w:rPr>
              <w:t xml:space="preserve">    await context.Database.BeginTransactionAsync();</w:t>
            </w:r>
            <w:r>
              <w:br/>
            </w:r>
            <w:r>
              <w:rPr>
                <w:rFonts w:ascii="Consolas" w:hAnsi="Consolas" w:eastAsia="Consolas"/>
                <w:color w:val="202020"/>
                <w:sz w:val="17"/>
              </w:rPr>
            </w:r>
            <w:r>
              <w:br/>
            </w:r>
            <w:r>
              <w:rPr>
                <w:rFonts w:ascii="Consolas" w:hAnsi="Consolas" w:eastAsia="Consolas"/>
                <w:color w:val="202020"/>
                <w:sz w:val="17"/>
              </w:rPr>
              <w:t>try</w:t>
            </w:r>
            <w:r>
              <w:br/>
            </w:r>
            <w:r>
              <w:rPr>
                <w:rFonts w:ascii="Consolas" w:hAnsi="Consolas" w:eastAsia="Consolas"/>
                <w:color w:val="202020"/>
                <w:sz w:val="17"/>
              </w:rPr>
              <w:t>{</w:t>
            </w:r>
            <w:r>
              <w:br/>
            </w:r>
            <w:r>
              <w:rPr>
                <w:rFonts w:ascii="Consolas" w:hAnsi="Consolas" w:eastAsia="Consolas"/>
                <w:color w:val="202020"/>
                <w:sz w:val="17"/>
              </w:rPr>
              <w:t xml:space="preserve">    // alterar origem</w:t>
            </w:r>
            <w:r>
              <w:br/>
            </w:r>
            <w:r>
              <w:rPr>
                <w:rFonts w:ascii="Consolas" w:hAnsi="Consolas" w:eastAsia="Consolas"/>
                <w:color w:val="202020"/>
                <w:sz w:val="17"/>
              </w:rPr>
              <w:t xml:space="preserve">    // alterar destino</w:t>
            </w:r>
            <w:r>
              <w:br/>
            </w:r>
            <w:r>
              <w:rPr>
                <w:rFonts w:ascii="Consolas" w:hAnsi="Consolas" w:eastAsia="Consolas"/>
                <w:color w:val="202020"/>
                <w:sz w:val="17"/>
              </w:rPr>
              <w:t xml:space="preserve">    // adicionar registro de transferencia</w:t>
            </w:r>
            <w:r>
              <w:br/>
            </w:r>
            <w:r>
              <w:rPr>
                <w:rFonts w:ascii="Consolas" w:hAnsi="Consolas" w:eastAsia="Consolas"/>
                <w:color w:val="202020"/>
                <w:sz w:val="17"/>
              </w:rPr>
            </w:r>
            <w:r>
              <w:br/>
            </w:r>
            <w:r>
              <w:rPr>
                <w:rFonts w:ascii="Consolas" w:hAnsi="Consolas" w:eastAsia="Consolas"/>
                <w:color w:val="202020"/>
                <w:sz w:val="17"/>
              </w:rPr>
              <w:t xml:space="preserve">    await context.SaveChangesAsync();</w:t>
            </w:r>
            <w:r>
              <w:br/>
            </w:r>
            <w:r>
              <w:rPr>
                <w:rFonts w:ascii="Consolas" w:hAnsi="Consolas" w:eastAsia="Consolas"/>
                <w:color w:val="202020"/>
                <w:sz w:val="17"/>
              </w:rPr>
              <w:t xml:space="preserve">    await transaction.CommitAsync();</w:t>
            </w:r>
            <w:r>
              <w:br/>
            </w:r>
            <w:r>
              <w:rPr>
                <w:rFonts w:ascii="Consolas" w:hAnsi="Consolas" w:eastAsia="Consolas"/>
                <w:color w:val="202020"/>
                <w:sz w:val="17"/>
              </w:rPr>
              <w:t>}</w:t>
            </w:r>
            <w:r>
              <w:br/>
            </w:r>
            <w:r>
              <w:rPr>
                <w:rFonts w:ascii="Consolas" w:hAnsi="Consolas" w:eastAsia="Consolas"/>
                <w:color w:val="202020"/>
                <w:sz w:val="17"/>
              </w:rPr>
              <w:t>catch</w:t>
            </w:r>
            <w:r>
              <w:br/>
            </w:r>
            <w:r>
              <w:rPr>
                <w:rFonts w:ascii="Consolas" w:hAnsi="Consolas" w:eastAsia="Consolas"/>
                <w:color w:val="202020"/>
                <w:sz w:val="17"/>
              </w:rPr>
              <w:t>{</w:t>
            </w:r>
            <w:r>
              <w:br/>
            </w:r>
            <w:r>
              <w:rPr>
                <w:rFonts w:ascii="Consolas" w:hAnsi="Consolas" w:eastAsia="Consolas"/>
                <w:color w:val="202020"/>
                <w:sz w:val="17"/>
              </w:rPr>
              <w:t xml:space="preserve">    await transaction.RollbackAsync();</w:t>
            </w:r>
            <w:r>
              <w:br/>
            </w:r>
            <w:r>
              <w:rPr>
                <w:rFonts w:ascii="Consolas" w:hAnsi="Consolas" w:eastAsia="Consolas"/>
                <w:color w:val="202020"/>
                <w:sz w:val="17"/>
              </w:rPr>
              <w:t xml:space="preserve">    throw;</w:t>
            </w:r>
            <w:r>
              <w:br/>
            </w:r>
            <w:r>
              <w:rPr>
                <w:rFonts w:ascii="Consolas" w:hAnsi="Consolas" w:eastAsia="Consolas"/>
                <w:color w:val="202020"/>
                <w:sz w:val="17"/>
              </w:rPr>
              <w:t>}</w:t>
            </w:r>
          </w:p>
        </w:tc>
      </w:tr>
    </w:tbl>
    <w:p>
      <w:pPr>
        <w:spacing w:after="0"/>
      </w:pPr>
    </w:p>
    <w:tbl>
      <w:tblPr>
        <w:tblW w:type="auto" w:w="0"/>
        <w:jc w:val="center"/>
        <w:tblLook w:firstColumn="1" w:firstRow="1" w:lastColumn="0" w:lastRow="0" w:noHBand="0" w:noVBand="1" w:val="04A0"/>
      </w:tblPr>
      <w:tblGrid>
        <w:gridCol w:w="10224"/>
      </w:tblGrid>
      <w:tr>
        <w:trPr>
          <w:cantSplit w:val="true"/>
        </w:trPr>
        <w:tc>
          <w:tcPr>
            <w:tcW w:type="dxa" w:w="10224"/>
            <w:shd w:fill="EAF2FA"/>
            <w:tcBorders>
              <w:top w:val="single" w:sz="2" w:color="EAF2FA"/>
              <w:bottom w:val="single" w:sz="2" w:color="EAF2FA"/>
              <w:left w:val="single" w:sz="18" w:color="2F6F9F"/>
              <w:right w:val="single" w:sz="2" w:color="EAF2FA"/>
            </w:tcBorders>
          </w:tcPr>
          <w:p>
            <w:pPr>
              <w:spacing w:after="20"/>
            </w:pPr>
            <w:r>
              <w:rPr>
                <w:rFonts w:ascii="Aptos" w:hAnsi="Aptos" w:eastAsia="Aptos"/>
                <w:b/>
                <w:color w:val="2F6F9F"/>
                <w:sz w:val="20"/>
              </w:rPr>
              <w:t>LIBERDADE TECNOLÓGICA</w:t>
            </w:r>
          </w:p>
          <w:p>
            <w:pPr>
              <w:spacing w:after="0" w:line="247" w:lineRule="auto"/>
            </w:pPr>
            <w:r>
              <w:rPr>
                <w:rFonts w:ascii="Aptos" w:hAnsi="Aptos" w:eastAsia="Aptos"/>
                <w:color w:val="222222"/>
                <w:sz w:val="19"/>
              </w:rPr>
              <w:t>ADO.NET, EF Core ou tecnologia equivalente podem ser utilizados. A nota depende da transação demonstrada, não da biblioteca escolhida.</w:t>
            </w:r>
          </w:p>
        </w:tc>
      </w:tr>
    </w:tbl>
    <w:p>
      <w:pPr>
        <w:spacing w:after="0"/>
      </w:pPr>
    </w:p>
    <w:p>
      <w:r>
        <w:br w:type="page"/>
      </w:r>
    </w:p>
    <w:p>
      <w:pPr>
        <w:keepNext/>
        <w:spacing w:before="180" w:after="60"/>
        <w:pBdr>
          <w:bottom w:val="single" w:sz="8" w:space="1" w:color="C8102E"/>
        </w:pBdr>
      </w:pPr>
      <w:r>
        <w:rPr>
          <w:rFonts w:ascii="Aptos" w:hAnsi="Aptos" w:eastAsia="Aptos"/>
          <w:b/>
          <w:color w:val="C8102E"/>
          <w:sz w:val="28"/>
        </w:rPr>
        <w:t>9. COMO SIMULAR UM ERRO CORRETAMENTE</w:t>
      </w:r>
    </w:p>
    <w:p>
      <w:pPr>
        <w:spacing w:before="0" w:after="80" w:line="254" w:lineRule="auto"/>
      </w:pPr>
      <w:r>
        <w:rPr>
          <w:rFonts w:ascii="Aptos" w:hAnsi="Aptos" w:eastAsia="Aptos"/>
          <w:b w:val="0"/>
          <w:i w:val="0"/>
          <w:color w:val="222222"/>
          <w:sz w:val="20"/>
        </w:rPr>
        <w:t>O teste de rollback precisa provocar uma falha deliberada depois de a transação ter começado e depois de pelo menos uma alteração ter sido executada. Isso permite verificar se o banco realmente retorna ao estado anterior.</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line="240" w:lineRule="auto"/>
            </w:pPr>
            <w:r>
              <w:rPr>
                <w:rFonts w:ascii="Consolas" w:hAnsi="Consolas" w:eastAsia="Consolas"/>
                <w:color w:val="202020"/>
                <w:sz w:val="17"/>
              </w:rPr>
              <w:t>// exemplo conceitual</w:t>
            </w:r>
            <w:r>
              <w:br/>
            </w:r>
            <w:r>
              <w:rPr>
                <w:rFonts w:ascii="Consolas" w:hAnsi="Consolas" w:eastAsia="Consolas"/>
                <w:color w:val="202020"/>
                <w:sz w:val="17"/>
              </w:rPr>
              <w:t>debitarContaOrigem();</w:t>
            </w:r>
            <w:r>
              <w:br/>
            </w:r>
            <w:r>
              <w:rPr>
                <w:rFonts w:ascii="Consolas" w:hAnsi="Consolas" w:eastAsia="Consolas"/>
                <w:color w:val="202020"/>
                <w:sz w:val="17"/>
              </w:rPr>
            </w:r>
            <w:r>
              <w:br/>
            </w:r>
            <w:r>
              <w:rPr>
                <w:rFonts w:ascii="Consolas" w:hAnsi="Consolas" w:eastAsia="Consolas"/>
                <w:color w:val="202020"/>
                <w:sz w:val="17"/>
              </w:rPr>
              <w:t>if (simularErro)</w:t>
            </w:r>
            <w:r>
              <w:br/>
            </w:r>
            <w:r>
              <w:rPr>
                <w:rFonts w:ascii="Consolas" w:hAnsi="Consolas" w:eastAsia="Consolas"/>
                <w:color w:val="202020"/>
                <w:sz w:val="17"/>
              </w:rPr>
              <w:t xml:space="preserve">    throw new Exception("Erro simulado para testar rollback.");</w:t>
            </w:r>
            <w:r>
              <w:br/>
            </w:r>
            <w:r>
              <w:rPr>
                <w:rFonts w:ascii="Consolas" w:hAnsi="Consolas" w:eastAsia="Consolas"/>
                <w:color w:val="202020"/>
                <w:sz w:val="17"/>
              </w:rPr>
            </w:r>
            <w:r>
              <w:br/>
            </w:r>
            <w:r>
              <w:rPr>
                <w:rFonts w:ascii="Consolas" w:hAnsi="Consolas" w:eastAsia="Consolas"/>
                <w:color w:val="202020"/>
                <w:sz w:val="17"/>
              </w:rPr>
              <w:t>creditarContaDestino();</w:t>
            </w:r>
            <w:r>
              <w:br/>
            </w:r>
            <w:r>
              <w:rPr>
                <w:rFonts w:ascii="Consolas" w:hAnsi="Consolas" w:eastAsia="Consolas"/>
                <w:color w:val="202020"/>
                <w:sz w:val="17"/>
              </w:rPr>
              <w:t>registrarTransferencia();</w:t>
            </w:r>
          </w:p>
        </w:tc>
      </w:tr>
    </w:tbl>
    <w:p>
      <w:pPr>
        <w:spacing w:after="0"/>
      </w:pPr>
    </w:p>
    <w:p>
      <w:pPr>
        <w:spacing w:before="0" w:after="80" w:line="254" w:lineRule="auto"/>
      </w:pPr>
      <w:r>
        <w:rPr>
          <w:rFonts w:ascii="Aptos" w:hAnsi="Aptos" w:eastAsia="Aptos"/>
          <w:b w:val="0"/>
          <w:i w:val="0"/>
          <w:color w:val="222222"/>
          <w:sz w:val="20"/>
        </w:rPr>
        <w:t>O resultado esperado é:</w:t>
      </w:r>
    </w:p>
    <w:tbl>
      <w:tblPr>
        <w:tblW w:type="auto" w:w="0"/>
        <w:jc w:val="center"/>
        <w:tblLook w:firstColumn="1" w:firstRow="1" w:lastColumn="0" w:lastRow="0" w:noHBand="0" w:noVBand="1" w:val="04A0"/>
      </w:tblPr>
      <w:tblGrid>
        <w:gridCol w:w="10224"/>
      </w:tblGrid>
      <w:tr>
        <w:trPr>
          <w:cantSplit w:val="true"/>
        </w:trPr>
        <w:tc>
          <w:tcPr>
            <w:tcW w:type="dxa" w:w="10224"/>
            <w:shd w:fill="F7F7F7"/>
            <w:tcBorders>
              <w:top w:val="single" w:sz="4" w:color="C8CCD0"/>
              <w:bottom w:val="single" w:sz="4" w:color="C8CCD0"/>
              <w:left w:val="single" w:sz="4" w:color="C8CCD0"/>
              <w:right w:val="single" w:sz="4" w:color="C8CCD0"/>
            </w:tcBorders>
          </w:tcPr>
          <w:p>
            <w:pPr>
              <w:spacing w:after="0" w:line="240" w:lineRule="auto"/>
            </w:pPr>
            <w:r>
              <w:rPr>
                <w:rFonts w:ascii="Consolas" w:hAnsi="Consolas" w:eastAsia="Consolas"/>
                <w:color w:val="202020"/>
                <w:sz w:val="17"/>
              </w:rPr>
              <w:t>ANTES</w:t>
            </w:r>
            <w:r>
              <w:br/>
            </w:r>
            <w:r>
              <w:rPr>
                <w:rFonts w:ascii="Consolas" w:hAnsi="Consolas" w:eastAsia="Consolas"/>
                <w:color w:val="202020"/>
                <w:sz w:val="17"/>
              </w:rPr>
              <w:t>Conta Origem  = 1000</w:t>
            </w:r>
            <w:r>
              <w:br/>
            </w:r>
            <w:r>
              <w:rPr>
                <w:rFonts w:ascii="Consolas" w:hAnsi="Consolas" w:eastAsia="Consolas"/>
                <w:color w:val="202020"/>
                <w:sz w:val="17"/>
              </w:rPr>
              <w:t>Conta Destino =  500</w:t>
            </w:r>
            <w:r>
              <w:br/>
            </w:r>
            <w:r>
              <w:rPr>
                <w:rFonts w:ascii="Consolas" w:hAnsi="Consolas" w:eastAsia="Consolas"/>
                <w:color w:val="202020"/>
                <w:sz w:val="17"/>
              </w:rPr>
            </w:r>
            <w:r>
              <w:br/>
            </w:r>
            <w:r>
              <w:rPr>
                <w:rFonts w:ascii="Consolas" w:hAnsi="Consolas" w:eastAsia="Consolas"/>
                <w:color w:val="202020"/>
                <w:sz w:val="17"/>
              </w:rPr>
              <w:t>DEBITO EXECUTADO</w:t>
            </w:r>
            <w:r>
              <w:br/>
            </w:r>
            <w:r>
              <w:rPr>
                <w:rFonts w:ascii="Consolas" w:hAnsi="Consolas" w:eastAsia="Consolas"/>
                <w:color w:val="202020"/>
                <w:sz w:val="17"/>
              </w:rPr>
              <w:t>Conta Origem  =  800   ← dentro da transação</w:t>
            </w:r>
            <w:r>
              <w:br/>
            </w:r>
            <w:r>
              <w:rPr>
                <w:rFonts w:ascii="Consolas" w:hAnsi="Consolas" w:eastAsia="Consolas"/>
                <w:color w:val="202020"/>
                <w:sz w:val="17"/>
              </w:rPr>
            </w:r>
            <w:r>
              <w:br/>
            </w:r>
            <w:r>
              <w:rPr>
                <w:rFonts w:ascii="Consolas" w:hAnsi="Consolas" w:eastAsia="Consolas"/>
                <w:color w:val="202020"/>
                <w:sz w:val="17"/>
              </w:rPr>
              <w:t>ERRO SIMULADO</w:t>
            </w:r>
            <w:r>
              <w:br/>
            </w:r>
            <w:r>
              <w:rPr>
                <w:rFonts w:ascii="Consolas" w:hAnsi="Consolas" w:eastAsia="Consolas"/>
                <w:color w:val="202020"/>
                <w:sz w:val="17"/>
              </w:rPr>
              <w:t>ROLLBACK</w:t>
            </w:r>
            <w:r>
              <w:br/>
            </w:r>
            <w:r>
              <w:rPr>
                <w:rFonts w:ascii="Consolas" w:hAnsi="Consolas" w:eastAsia="Consolas"/>
                <w:color w:val="202020"/>
                <w:sz w:val="17"/>
              </w:rPr>
            </w:r>
            <w:r>
              <w:br/>
            </w:r>
            <w:r>
              <w:rPr>
                <w:rFonts w:ascii="Consolas" w:hAnsi="Consolas" w:eastAsia="Consolas"/>
                <w:color w:val="202020"/>
                <w:sz w:val="17"/>
              </w:rPr>
              <w:t>DEPOIS</w:t>
            </w:r>
            <w:r>
              <w:br/>
            </w:r>
            <w:r>
              <w:rPr>
                <w:rFonts w:ascii="Consolas" w:hAnsi="Consolas" w:eastAsia="Consolas"/>
                <w:color w:val="202020"/>
                <w:sz w:val="17"/>
              </w:rPr>
              <w:t>Conta Origem  = 1000</w:t>
            </w:r>
            <w:r>
              <w:br/>
            </w:r>
            <w:r>
              <w:rPr>
                <w:rFonts w:ascii="Consolas" w:hAnsi="Consolas" w:eastAsia="Consolas"/>
                <w:color w:val="202020"/>
                <w:sz w:val="17"/>
              </w:rPr>
              <w:t>Conta Destino =  500</w:t>
            </w:r>
            <w:r>
              <w:br/>
            </w:r>
            <w:r>
              <w:rPr>
                <w:rFonts w:ascii="Consolas" w:hAnsi="Consolas" w:eastAsia="Consolas"/>
                <w:color w:val="202020"/>
                <w:sz w:val="17"/>
              </w:rPr>
              <w:t>Nenhum histórico parcial permanece</w:t>
            </w:r>
          </w:p>
        </w:tc>
      </w:tr>
    </w:tbl>
    <w:p>
      <w:pPr>
        <w:spacing w:after="0"/>
      </w:pPr>
    </w:p>
    <w:tbl>
      <w:tblPr>
        <w:tblW w:type="auto" w:w="0"/>
        <w:jc w:val="center"/>
        <w:tblLook w:firstColumn="1" w:firstRow="1" w:lastColumn="0" w:lastRow="0" w:noHBand="0" w:noVBand="1" w:val="04A0"/>
      </w:tblPr>
      <w:tblGrid>
        <w:gridCol w:w="10224"/>
      </w:tblGrid>
      <w:tr>
        <w:trPr>
          <w:cantSplit w:val="true"/>
        </w:trPr>
        <w:tc>
          <w:tcPr>
            <w:tcW w:type="dxa" w:w="10224"/>
            <w:shd w:fill="FCECEF"/>
            <w:tcBorders>
              <w:top w:val="single" w:sz="2" w:color="FCECEF"/>
              <w:bottom w:val="single" w:sz="2" w:color="FCECEF"/>
              <w:left w:val="single" w:sz="18" w:color="C8102E"/>
              <w:right w:val="single" w:sz="2" w:color="FCECEF"/>
            </w:tcBorders>
          </w:tcPr>
          <w:p>
            <w:pPr>
              <w:spacing w:after="20"/>
            </w:pPr>
            <w:r>
              <w:rPr>
                <w:rFonts w:ascii="Aptos" w:hAnsi="Aptos" w:eastAsia="Aptos"/>
                <w:b/>
                <w:color w:val="C8102E"/>
                <w:sz w:val="20"/>
              </w:rPr>
              <w:t>ERRO ACIDENTAL NÃO É TESTE</w:t>
            </w:r>
          </w:p>
          <w:p>
            <w:pPr>
              <w:spacing w:after="0" w:line="247" w:lineRule="auto"/>
            </w:pPr>
            <w:r>
              <w:rPr>
                <w:rFonts w:ascii="Aptos" w:hAnsi="Aptos" w:eastAsia="Aptos"/>
                <w:color w:val="222222"/>
                <w:sz w:val="19"/>
              </w:rPr>
              <w:t>Falhar por string de conexão incorreta, tabela inexistente ou sintaxe inválida não comprova adequadamente o rollback da operação lógica.</w:t>
            </w:r>
          </w:p>
        </w:tc>
      </w:tr>
    </w:tbl>
    <w:p>
      <w:pPr>
        <w:spacing w:after="0"/>
      </w:pPr>
    </w:p>
    <w:p>
      <w:pPr>
        <w:keepNext/>
        <w:spacing w:before="180" w:after="60"/>
        <w:pBdr>
          <w:bottom w:val="single" w:sz="8" w:space="1" w:color="C8102E"/>
        </w:pBdr>
      </w:pPr>
      <w:r>
        <w:rPr>
          <w:rFonts w:ascii="Aptos" w:hAnsi="Aptos" w:eastAsia="Aptos"/>
          <w:b/>
          <w:color w:val="C8102E"/>
          <w:sz w:val="28"/>
        </w:rPr>
        <w:t>10. ROTEIRO DE TESTE NO DBEAVER OU VALENTINA</w:t>
      </w:r>
    </w:p>
    <w:p>
      <w:pPr>
        <w:pStyle w:val="ListBullet"/>
        <w:spacing w:after="44" w:line="247" w:lineRule="auto"/>
      </w:pPr>
      <w:r>
        <w:rPr>
          <w:rFonts w:ascii="Aptos" w:hAnsi="Aptos" w:eastAsia="Aptos"/>
          <w:color w:val="222222"/>
          <w:sz w:val="19"/>
        </w:rPr>
        <w:t>Conecte-se à base/schema do CP5, nunca ao master do SQL Server nem ao usuário SYSTEM do Oracle.</w:t>
      </w:r>
    </w:p>
    <w:p>
      <w:pPr>
        <w:pStyle w:val="ListBullet"/>
        <w:spacing w:after="44" w:line="247" w:lineRule="auto"/>
      </w:pPr>
      <w:r>
        <w:rPr>
          <w:rFonts w:ascii="Aptos" w:hAnsi="Aptos" w:eastAsia="Aptos"/>
          <w:color w:val="222222"/>
          <w:sz w:val="19"/>
        </w:rPr>
        <w:t>Confira os dados iniciais das contas.</w:t>
      </w:r>
    </w:p>
    <w:p>
      <w:pPr>
        <w:pStyle w:val="ListBullet"/>
        <w:spacing w:after="44" w:line="247" w:lineRule="auto"/>
      </w:pPr>
      <w:r>
        <w:rPr>
          <w:rFonts w:ascii="Aptos" w:hAnsi="Aptos" w:eastAsia="Aptos"/>
          <w:color w:val="222222"/>
          <w:sz w:val="19"/>
        </w:rPr>
        <w:t>Execute o caso de sucesso e confirme os novos saldos e o registro em TRANSFERENCIA.</w:t>
      </w:r>
    </w:p>
    <w:p>
      <w:pPr>
        <w:pStyle w:val="ListBullet"/>
        <w:spacing w:after="44" w:line="247" w:lineRule="auto"/>
      </w:pPr>
      <w:r>
        <w:rPr>
          <w:rFonts w:ascii="Aptos" w:hAnsi="Aptos" w:eastAsia="Aptos"/>
          <w:color w:val="222222"/>
          <w:sz w:val="19"/>
        </w:rPr>
        <w:t>Reinicialize os dados.</w:t>
      </w:r>
    </w:p>
    <w:p>
      <w:pPr>
        <w:pStyle w:val="ListBullet"/>
        <w:spacing w:after="44" w:line="247" w:lineRule="auto"/>
      </w:pPr>
      <w:r>
        <w:rPr>
          <w:rFonts w:ascii="Aptos" w:hAnsi="Aptos" w:eastAsia="Aptos"/>
          <w:color w:val="222222"/>
          <w:sz w:val="19"/>
        </w:rPr>
        <w:t>Execute o caso com erro simulado.</w:t>
      </w:r>
    </w:p>
    <w:p>
      <w:pPr>
        <w:pStyle w:val="ListBullet"/>
        <w:spacing w:after="44" w:line="247" w:lineRule="auto"/>
      </w:pPr>
      <w:r>
        <w:rPr>
          <w:rFonts w:ascii="Aptos" w:hAnsi="Aptos" w:eastAsia="Aptos"/>
          <w:color w:val="222222"/>
          <w:sz w:val="19"/>
        </w:rPr>
        <w:t>Confirme que os saldos retornaram aos valores iniciais.</w:t>
      </w:r>
    </w:p>
    <w:p>
      <w:pPr>
        <w:pStyle w:val="ListBullet"/>
        <w:spacing w:after="44" w:line="247" w:lineRule="auto"/>
      </w:pPr>
      <w:r>
        <w:rPr>
          <w:rFonts w:ascii="Aptos" w:hAnsi="Aptos" w:eastAsia="Aptos"/>
          <w:color w:val="222222"/>
          <w:sz w:val="19"/>
        </w:rPr>
        <w:t>Confirme que nenhum registro parcial de TRANSFERENCIA permaneceu.</w:t>
      </w:r>
    </w:p>
    <w:p>
      <w:pPr>
        <w:pStyle w:val="ListBullet"/>
        <w:spacing w:after="44" w:line="247" w:lineRule="auto"/>
      </w:pPr>
      <w:r>
        <w:rPr>
          <w:rFonts w:ascii="Aptos" w:hAnsi="Aptos" w:eastAsia="Aptos"/>
          <w:color w:val="222222"/>
          <w:sz w:val="19"/>
        </w:rPr>
        <w:t>Capture as evidências em resolução legível.</w:t>
      </w:r>
    </w:p>
    <w:p>
      <w:r>
        <w:br w:type="page"/>
      </w:r>
    </w:p>
    <w:p>
      <w:pPr>
        <w:keepNext/>
        <w:spacing w:before="180" w:after="60"/>
        <w:pBdr>
          <w:bottom w:val="single" w:sz="8" w:space="1" w:color="C8102E"/>
        </w:pBdr>
      </w:pPr>
      <w:r>
        <w:rPr>
          <w:rFonts w:ascii="Aptos" w:hAnsi="Aptos" w:eastAsia="Aptos"/>
          <w:b/>
          <w:color w:val="C8102E"/>
          <w:sz w:val="28"/>
        </w:rPr>
        <w:t>11. O QUE COMPARAR ENTRE SQL SERVER E ORACLE</w:t>
      </w:r>
    </w:p>
    <w:tbl>
      <w:tblPr>
        <w:tblW w:type="auto" w:w="0"/>
        <w:jc w:val="center"/>
        <w:tblLook w:firstColumn="1" w:firstRow="1" w:lastColumn="0" w:lastRow="0" w:noHBand="0" w:noVBand="1" w:val="04A0"/>
      </w:tblPr>
      <w:tblGrid>
        <w:gridCol w:w="5112"/>
        <w:gridCol w:w="5112"/>
      </w:tblGrid>
      <w:tr>
        <w:trPr>
          <w:cantSplit w:val="true"/>
        </w:trPr>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Conceito</w:t>
            </w:r>
          </w:p>
        </w:tc>
        <w:tc>
          <w:tcPr>
            <w:tcW w:type="dxa" w:w="5112"/>
            <w:shd w:fill="C8102E"/>
            <w:tcBorders>
              <w:top w:val="single" w:sz="4" w:color="D6D9DE"/>
              <w:bottom w:val="single" w:sz="4" w:color="D6D9DE"/>
              <w:left w:val="single" w:sz="4" w:color="D6D9DE"/>
              <w:right w:val="single" w:sz="4" w:color="D6D9DE"/>
            </w:tcBorders>
          </w:tcPr>
          <w:p>
            <w:r>
              <w:rPr>
                <w:rFonts w:ascii="Aptos" w:hAnsi="Aptos" w:eastAsia="Aptos"/>
                <w:b/>
                <w:color w:val="FFFFFF"/>
                <w:sz w:val="18"/>
              </w:rPr>
              <w:t>Explicação</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Estrutura relacional</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O modelo lógico é equivalente: mesmas entidades, chaves primárias, chaves estrangeiras e regras.</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Tipos de dados</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Os nomes dos tipos diferem: VARCHAR/DECIMAL/DATETIME2 no SQL Server e VARCHAR2/NUMBER/TIMESTAMP no Oracle.</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Identidade</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SQL Server usa IDENTITY; Oracle XE 21c também permite coluna identity com sintaxe própria.</w:t>
            </w:r>
          </w:p>
        </w:tc>
      </w:tr>
      <w:tr>
        <w:trPr>
          <w:cantSplit w:val="true"/>
        </w:trPr>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Transação</w:t>
            </w:r>
          </w:p>
        </w:tc>
        <w:tc>
          <w:tcPr>
            <w:tcW w:type="dxa" w:w="5112"/>
            <w:shd w:fill="F4F5F7"/>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O conceito COMMIT/ROLLBACK é o mesmo; a sintaxe e o comportamento da ferramenta cliente podem variar.</w:t>
            </w:r>
          </w:p>
        </w:tc>
      </w:tr>
      <w:tr>
        <w:trPr>
          <w:cantSplit w:val="true"/>
        </w:trPr>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color w:val="222222"/>
                <w:sz w:val="17"/>
              </w:rPr>
              <w:t>C#</w:t>
            </w:r>
          </w:p>
        </w:tc>
        <w:tc>
          <w:tcPr>
            <w:tcW w:type="dxa" w:w="5112"/>
            <w:shd w:fill="FFFFFF"/>
            <w:tcBorders>
              <w:top w:val="single" w:sz="4" w:color="D6D9DE"/>
              <w:bottom w:val="single" w:sz="4" w:color="D6D9DE"/>
              <w:left w:val="single" w:sz="4" w:color="D6D9DE"/>
              <w:right w:val="single" w:sz="4" w:color="D6D9DE"/>
            </w:tcBorders>
          </w:tcPr>
          <w:p>
            <w:pPr>
              <w:spacing w:after="0"/>
            </w:pPr>
            <w:r>
              <w:rPr>
                <w:rFonts w:ascii="Aptos" w:hAnsi="Aptos" w:eastAsia="Aptos"/>
                <w:b w:val="0"/>
                <w:color w:val="222222"/>
                <w:sz w:val="17"/>
              </w:rPr>
              <w:t>Providers e classes mudam, mas conexão, transação, comandos e tratamento de erro seguem a mesma ideia.</w:t>
            </w:r>
          </w:p>
        </w:tc>
      </w:tr>
    </w:tbl>
    <w:p>
      <w:pPr>
        <w:spacing w:after="0"/>
      </w:pPr>
    </w:p>
    <w:p>
      <w:pPr>
        <w:keepNext/>
        <w:spacing w:before="180" w:after="60"/>
        <w:pBdr>
          <w:bottom w:val="single" w:sz="8" w:space="1" w:color="C8102E"/>
        </w:pBdr>
      </w:pPr>
      <w:r>
        <w:rPr>
          <w:rFonts w:ascii="Aptos" w:hAnsi="Aptos" w:eastAsia="Aptos"/>
          <w:b/>
          <w:color w:val="C8102E"/>
          <w:sz w:val="28"/>
        </w:rPr>
        <w:t>12. ERROS COMUNS</w:t>
      </w:r>
    </w:p>
    <w:p>
      <w:pPr>
        <w:pStyle w:val="ListBullet"/>
        <w:spacing w:after="44" w:line="247" w:lineRule="auto"/>
      </w:pPr>
      <w:r>
        <w:rPr>
          <w:rFonts w:ascii="Aptos" w:hAnsi="Aptos" w:eastAsia="Aptos"/>
          <w:color w:val="222222"/>
          <w:sz w:val="19"/>
        </w:rPr>
        <w:t>Executar o script no banco master do SQL Server.</w:t>
      </w:r>
    </w:p>
    <w:p>
      <w:pPr>
        <w:pStyle w:val="ListBullet"/>
        <w:spacing w:after="44" w:line="247" w:lineRule="auto"/>
      </w:pPr>
      <w:r>
        <w:rPr>
          <w:rFonts w:ascii="Aptos" w:hAnsi="Aptos" w:eastAsia="Aptos"/>
          <w:color w:val="222222"/>
          <w:sz w:val="19"/>
        </w:rPr>
        <w:t>Executar as tabelas do exercício no schema SYSTEM do Oracle.</w:t>
      </w:r>
    </w:p>
    <w:p>
      <w:pPr>
        <w:pStyle w:val="ListBullet"/>
        <w:spacing w:after="44" w:line="247" w:lineRule="auto"/>
      </w:pPr>
      <w:r>
        <w:rPr>
          <w:rFonts w:ascii="Aptos" w:hAnsi="Aptos" w:eastAsia="Aptos"/>
          <w:color w:val="222222"/>
          <w:sz w:val="19"/>
        </w:rPr>
        <w:t>Abrir uma nova conexão para cada UPDATE e, com isso, perder a unidade transacional.</w:t>
      </w:r>
    </w:p>
    <w:p>
      <w:pPr>
        <w:pStyle w:val="ListBullet"/>
        <w:spacing w:after="44" w:line="247" w:lineRule="auto"/>
      </w:pPr>
      <w:r>
        <w:rPr>
          <w:rFonts w:ascii="Aptos" w:hAnsi="Aptos" w:eastAsia="Aptos"/>
          <w:color w:val="222222"/>
          <w:sz w:val="19"/>
        </w:rPr>
        <w:t>Executar COMMIT antes de concluir todas as operações.</w:t>
      </w:r>
    </w:p>
    <w:p>
      <w:pPr>
        <w:pStyle w:val="ListBullet"/>
        <w:spacing w:after="44" w:line="247" w:lineRule="auto"/>
      </w:pPr>
      <w:r>
        <w:rPr>
          <w:rFonts w:ascii="Aptos" w:hAnsi="Aptos" w:eastAsia="Aptos"/>
          <w:color w:val="222222"/>
          <w:sz w:val="19"/>
        </w:rPr>
        <w:t>Ter ROLLBACK no código, mas nunca testá-lo.</w:t>
      </w:r>
    </w:p>
    <w:p>
      <w:pPr>
        <w:pStyle w:val="ListBullet"/>
        <w:spacing w:after="44" w:line="247" w:lineRule="auto"/>
      </w:pPr>
      <w:r>
        <w:rPr>
          <w:rFonts w:ascii="Aptos" w:hAnsi="Aptos" w:eastAsia="Aptos"/>
          <w:color w:val="222222"/>
          <w:sz w:val="19"/>
        </w:rPr>
        <w:t>Provocar o erro antes de qualquer alteração e considerar isso prova de atomicidade.</w:t>
      </w:r>
    </w:p>
    <w:p>
      <w:pPr>
        <w:pStyle w:val="ListBullet"/>
        <w:spacing w:after="44" w:line="247" w:lineRule="auto"/>
      </w:pPr>
      <w:r>
        <w:rPr>
          <w:rFonts w:ascii="Aptos" w:hAnsi="Aptos" w:eastAsia="Aptos"/>
          <w:color w:val="222222"/>
          <w:sz w:val="19"/>
        </w:rPr>
        <w:t>Esquecer de associar comandos ADO.NET à transação.</w:t>
      </w:r>
    </w:p>
    <w:p>
      <w:pPr>
        <w:pStyle w:val="ListBullet"/>
        <w:spacing w:after="44" w:line="247" w:lineRule="auto"/>
      </w:pPr>
      <w:r>
        <w:rPr>
          <w:rFonts w:ascii="Aptos" w:hAnsi="Aptos" w:eastAsia="Aptos"/>
          <w:color w:val="222222"/>
          <w:sz w:val="19"/>
        </w:rPr>
        <w:t>Confiar no Auto-commit da ferramenta durante o teste manual.</w:t>
      </w:r>
    </w:p>
    <w:p>
      <w:pPr>
        <w:pStyle w:val="ListBullet"/>
        <w:spacing w:after="44" w:line="247" w:lineRule="auto"/>
      </w:pPr>
      <w:r>
        <w:rPr>
          <w:rFonts w:ascii="Aptos" w:hAnsi="Aptos" w:eastAsia="Aptos"/>
          <w:color w:val="222222"/>
          <w:sz w:val="19"/>
        </w:rPr>
        <w:t>Guardar senha institucional no código, README ou evidência.</w:t>
      </w:r>
    </w:p>
    <w:p>
      <w:pPr>
        <w:keepNext/>
        <w:spacing w:before="180" w:after="60"/>
        <w:pBdr>
          <w:bottom w:val="single" w:sz="8" w:space="1" w:color="C8102E"/>
        </w:pBdr>
      </w:pPr>
      <w:r>
        <w:rPr>
          <w:rFonts w:ascii="Aptos" w:hAnsi="Aptos" w:eastAsia="Aptos"/>
          <w:b/>
          <w:color w:val="C8102E"/>
          <w:sz w:val="28"/>
        </w:rPr>
        <w:t>13. O QUE NÃO É NECESSÁRIO PARA O CP5</w:t>
      </w:r>
    </w:p>
    <w:p>
      <w:pPr>
        <w:pStyle w:val="ListBullet"/>
        <w:spacing w:after="44" w:line="247" w:lineRule="auto"/>
      </w:pPr>
      <w:r>
        <w:rPr>
          <w:rFonts w:ascii="Aptos" w:hAnsi="Aptos" w:eastAsia="Aptos"/>
          <w:color w:val="222222"/>
          <w:sz w:val="19"/>
        </w:rPr>
        <w:t>Stored Procedures.</w:t>
      </w:r>
    </w:p>
    <w:p>
      <w:pPr>
        <w:pStyle w:val="ListBullet"/>
        <w:spacing w:after="44" w:line="247" w:lineRule="auto"/>
      </w:pPr>
      <w:r>
        <w:rPr>
          <w:rFonts w:ascii="Aptos" w:hAnsi="Aptos" w:eastAsia="Aptos"/>
          <w:color w:val="222222"/>
          <w:sz w:val="19"/>
        </w:rPr>
        <w:t>Triggers.</w:t>
      </w:r>
    </w:p>
    <w:p>
      <w:pPr>
        <w:pStyle w:val="ListBullet"/>
        <w:spacing w:after="44" w:line="247" w:lineRule="auto"/>
      </w:pPr>
      <w:r>
        <w:rPr>
          <w:rFonts w:ascii="Aptos" w:hAnsi="Aptos" w:eastAsia="Aptos"/>
          <w:color w:val="222222"/>
          <w:sz w:val="19"/>
        </w:rPr>
        <w:t>Functions ou packages Oracle.</w:t>
      </w:r>
    </w:p>
    <w:p>
      <w:pPr>
        <w:pStyle w:val="ListBullet"/>
        <w:spacing w:after="44" w:line="247" w:lineRule="auto"/>
      </w:pPr>
      <w:r>
        <w:rPr>
          <w:rFonts w:ascii="Aptos" w:hAnsi="Aptos" w:eastAsia="Aptos"/>
          <w:color w:val="222222"/>
          <w:sz w:val="19"/>
        </w:rPr>
        <w:t>Transações distribuídas SQL Server e Oracle.</w:t>
      </w:r>
    </w:p>
    <w:p>
      <w:pPr>
        <w:pStyle w:val="ListBullet"/>
        <w:spacing w:after="44" w:line="247" w:lineRule="auto"/>
      </w:pPr>
      <w:r>
        <w:rPr>
          <w:rFonts w:ascii="Aptos" w:hAnsi="Aptos" w:eastAsia="Aptos"/>
          <w:color w:val="222222"/>
          <w:sz w:val="19"/>
        </w:rPr>
        <w:t>MSDTC, XA ou two-phase commit.</w:t>
      </w:r>
    </w:p>
    <w:p>
      <w:pPr>
        <w:pStyle w:val="ListBullet"/>
        <w:spacing w:after="44" w:line="247" w:lineRule="auto"/>
      </w:pPr>
      <w:r>
        <w:rPr>
          <w:rFonts w:ascii="Aptos" w:hAnsi="Aptos" w:eastAsia="Aptos"/>
          <w:color w:val="222222"/>
          <w:sz w:val="19"/>
        </w:rPr>
        <w:t>Repository Pattern, CQRS, mensageria ou microsserviços.</w:t>
      </w:r>
    </w:p>
    <w:p>
      <w:pPr>
        <w:pStyle w:val="ListBullet"/>
        <w:spacing w:after="44" w:line="247" w:lineRule="auto"/>
      </w:pPr>
      <w:r>
        <w:rPr>
          <w:rFonts w:ascii="Aptos" w:hAnsi="Aptos" w:eastAsia="Aptos"/>
          <w:color w:val="222222"/>
          <w:sz w:val="19"/>
        </w:rPr>
        <w:t>Interface gráfica sofisticada.</w:t>
      </w:r>
    </w:p>
    <w:p>
      <w:pPr>
        <w:keepNext/>
        <w:spacing w:before="180" w:after="60"/>
        <w:pBdr>
          <w:bottom w:val="single" w:sz="8" w:space="1" w:color="C8102E"/>
        </w:pBdr>
      </w:pPr>
      <w:r>
        <w:rPr>
          <w:rFonts w:ascii="Aptos" w:hAnsi="Aptos" w:eastAsia="Aptos"/>
          <w:b/>
          <w:color w:val="C8102E"/>
          <w:sz w:val="28"/>
        </w:rPr>
        <w:t>14. CHECKLIST DE ENTENDIMENTO</w:t>
      </w:r>
    </w:p>
    <w:p>
      <w:pPr>
        <w:spacing w:after="42"/>
      </w:pPr>
      <w:r>
        <w:rPr>
          <w:rFonts w:ascii="Aptos" w:hAnsi="Aptos" w:eastAsia="Aptos"/>
          <w:color w:val="C8102E"/>
          <w:sz w:val="20"/>
        </w:rPr>
        <w:t xml:space="preserve">☐ </w:t>
      </w:r>
      <w:r>
        <w:rPr>
          <w:rFonts w:ascii="Aptos" w:hAnsi="Aptos" w:eastAsia="Aptos"/>
          <w:color w:val="222222"/>
          <w:sz w:val="19"/>
        </w:rPr>
        <w:t>Consigo explicar por que débito, crédito e histórico pertencem à mesma operação lógica.</w:t>
      </w:r>
    </w:p>
    <w:p>
      <w:pPr>
        <w:spacing w:after="42"/>
      </w:pPr>
      <w:r>
        <w:rPr>
          <w:rFonts w:ascii="Aptos" w:hAnsi="Aptos" w:eastAsia="Aptos"/>
          <w:color w:val="C8102E"/>
          <w:sz w:val="20"/>
        </w:rPr>
        <w:t xml:space="preserve">☐ </w:t>
      </w:r>
      <w:r>
        <w:rPr>
          <w:rFonts w:ascii="Aptos" w:hAnsi="Aptos" w:eastAsia="Aptos"/>
          <w:color w:val="222222"/>
          <w:sz w:val="19"/>
        </w:rPr>
        <w:t>Consigo explicar a diferença entre COMMIT e ROLLBACK.</w:t>
      </w:r>
    </w:p>
    <w:p>
      <w:pPr>
        <w:spacing w:after="42"/>
      </w:pPr>
      <w:r>
        <w:rPr>
          <w:rFonts w:ascii="Aptos" w:hAnsi="Aptos" w:eastAsia="Aptos"/>
          <w:color w:val="C8102E"/>
          <w:sz w:val="20"/>
        </w:rPr>
        <w:t xml:space="preserve">☐ </w:t>
      </w:r>
      <w:r>
        <w:rPr>
          <w:rFonts w:ascii="Aptos" w:hAnsi="Aptos" w:eastAsia="Aptos"/>
          <w:color w:val="222222"/>
          <w:sz w:val="19"/>
        </w:rPr>
        <w:t>Consigo identificar onde a transação começa no meu código.</w:t>
      </w:r>
    </w:p>
    <w:p>
      <w:pPr>
        <w:spacing w:after="42"/>
      </w:pPr>
      <w:r>
        <w:rPr>
          <w:rFonts w:ascii="Aptos" w:hAnsi="Aptos" w:eastAsia="Aptos"/>
          <w:color w:val="C8102E"/>
          <w:sz w:val="20"/>
        </w:rPr>
        <w:t xml:space="preserve">☐ </w:t>
      </w:r>
      <w:r>
        <w:rPr>
          <w:rFonts w:ascii="Aptos" w:hAnsi="Aptos" w:eastAsia="Aptos"/>
          <w:color w:val="222222"/>
          <w:sz w:val="19"/>
        </w:rPr>
        <w:t>Consigo mostrar que os comandos usam a mesma transação.</w:t>
      </w:r>
    </w:p>
    <w:p>
      <w:pPr>
        <w:spacing w:after="42"/>
      </w:pPr>
      <w:r>
        <w:rPr>
          <w:rFonts w:ascii="Aptos" w:hAnsi="Aptos" w:eastAsia="Aptos"/>
          <w:color w:val="C8102E"/>
          <w:sz w:val="20"/>
        </w:rPr>
        <w:t xml:space="preserve">☐ </w:t>
      </w:r>
      <w:r>
        <w:rPr>
          <w:rFonts w:ascii="Aptos" w:hAnsi="Aptos" w:eastAsia="Aptos"/>
          <w:color w:val="222222"/>
          <w:sz w:val="19"/>
        </w:rPr>
        <w:t>Consigo provocar um erro depois de uma alteração.</w:t>
      </w:r>
    </w:p>
    <w:p>
      <w:pPr>
        <w:spacing w:after="42"/>
      </w:pPr>
      <w:r>
        <w:rPr>
          <w:rFonts w:ascii="Aptos" w:hAnsi="Aptos" w:eastAsia="Aptos"/>
          <w:color w:val="C8102E"/>
          <w:sz w:val="20"/>
        </w:rPr>
        <w:t xml:space="preserve">☐ </w:t>
      </w:r>
      <w:r>
        <w:rPr>
          <w:rFonts w:ascii="Aptos" w:hAnsi="Aptos" w:eastAsia="Aptos"/>
          <w:color w:val="222222"/>
          <w:sz w:val="19"/>
        </w:rPr>
        <w:t>Consigo provar que o estado anterior foi restaurado.</w:t>
      </w:r>
    </w:p>
    <w:p>
      <w:pPr>
        <w:spacing w:after="42"/>
      </w:pPr>
      <w:r>
        <w:rPr>
          <w:rFonts w:ascii="Aptos" w:hAnsi="Aptos" w:eastAsia="Aptos"/>
          <w:color w:val="C8102E"/>
          <w:sz w:val="20"/>
        </w:rPr>
        <w:t xml:space="preserve">☐ </w:t>
      </w:r>
      <w:r>
        <w:rPr>
          <w:rFonts w:ascii="Aptos" w:hAnsi="Aptos" w:eastAsia="Aptos"/>
          <w:color w:val="222222"/>
          <w:sz w:val="19"/>
        </w:rPr>
        <w:t>Consigo executar a solução em SQL Server.</w:t>
      </w:r>
    </w:p>
    <w:p>
      <w:pPr>
        <w:spacing w:after="42"/>
      </w:pPr>
      <w:r>
        <w:rPr>
          <w:rFonts w:ascii="Aptos" w:hAnsi="Aptos" w:eastAsia="Aptos"/>
          <w:color w:val="C8102E"/>
          <w:sz w:val="20"/>
        </w:rPr>
        <w:t xml:space="preserve">☐ </w:t>
      </w:r>
      <w:r>
        <w:rPr>
          <w:rFonts w:ascii="Aptos" w:hAnsi="Aptos" w:eastAsia="Aptos"/>
          <w:color w:val="222222"/>
          <w:sz w:val="19"/>
        </w:rPr>
        <w:t>Consigo executar a solução em Oracle.</w:t>
      </w:r>
    </w:p>
    <w:p>
      <w:pPr>
        <w:spacing w:after="42"/>
      </w:pPr>
      <w:r>
        <w:rPr>
          <w:rFonts w:ascii="Aptos" w:hAnsi="Aptos" w:eastAsia="Aptos"/>
          <w:color w:val="C8102E"/>
          <w:sz w:val="20"/>
        </w:rPr>
        <w:t xml:space="preserve">☐ </w:t>
      </w:r>
      <w:r>
        <w:rPr>
          <w:rFonts w:ascii="Aptos" w:hAnsi="Aptos" w:eastAsia="Aptos"/>
          <w:color w:val="222222"/>
          <w:sz w:val="19"/>
        </w:rPr>
        <w:t>Não dependo de Stored Procedure ou transação distribuída para resolver o CP5.</w:t>
      </w:r>
    </w:p>
    <w:tbl>
      <w:tblPr>
        <w:tblW w:type="auto" w:w="0"/>
        <w:jc w:val="center"/>
        <w:tblLook w:firstColumn="1" w:firstRow="1" w:lastColumn="0" w:lastRow="0" w:noHBand="0" w:noVBand="1" w:val="04A0"/>
      </w:tblPr>
      <w:tblGrid>
        <w:gridCol w:w="10224"/>
      </w:tblGrid>
      <w:tr>
        <w:trPr>
          <w:cantSplit w:val="true"/>
        </w:trPr>
        <w:tc>
          <w:tcPr>
            <w:tcW w:type="dxa" w:w="10224"/>
            <w:shd w:fill="EAF5EE"/>
            <w:tcBorders>
              <w:top w:val="single" w:sz="2" w:color="EAF5EE"/>
              <w:bottom w:val="single" w:sz="2" w:color="EAF5EE"/>
              <w:left w:val="single" w:sz="18" w:color="2A7A46"/>
              <w:right w:val="single" w:sz="2" w:color="EAF5EE"/>
            </w:tcBorders>
          </w:tcPr>
          <w:p>
            <w:pPr>
              <w:spacing w:after="20"/>
            </w:pPr>
            <w:r>
              <w:rPr>
                <w:rFonts w:ascii="Aptos" w:hAnsi="Aptos" w:eastAsia="Aptos"/>
                <w:b/>
                <w:color w:val="2A7A46"/>
                <w:sz w:val="20"/>
              </w:rPr>
              <w:t>RESUMO</w:t>
            </w:r>
          </w:p>
          <w:p>
            <w:pPr>
              <w:spacing w:after="0" w:line="247" w:lineRule="auto"/>
            </w:pPr>
            <w:r>
              <w:rPr>
                <w:rFonts w:ascii="Aptos" w:hAnsi="Aptos" w:eastAsia="Aptos"/>
                <w:color w:val="222222"/>
                <w:sz w:val="19"/>
              </w:rPr>
              <w:t>A implementação pode variar, mas o resultado não: a transferência só é válida quando débito, crédito e registro pertencem à mesma unidade de trabalho. Sucesso termina em COMMIT; falha termina em ROLLBACK.</w:t>
            </w:r>
          </w:p>
        </w:tc>
      </w:tr>
    </w:tbl>
    <w:p>
      <w:pPr>
        <w:spacing w:after="0"/>
      </w:pP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Aptos" w:hAnsi="Aptos" w:eastAsia="Aptos"/>
              <w:color w:val="666666"/>
              <w:sz w:val="14"/>
            </w:rPr>
            <w:t>D03 — Tutorial técnico</w:t>
          </w:r>
        </w:p>
      </w:tc>
      <w:tc>
        <w:tcPr>
          <w:tcW w:type="dxa" w:w="3360"/>
        </w:tcPr>
        <w:p>
          <w:pPr>
            <w:jc w:val="center"/>
          </w:pPr>
          <w:r>
            <w:rPr>
              <w:rFonts w:ascii="Aptos" w:hAnsi="Aptos" w:eastAsia="Aptos"/>
              <w:color w:val="666666"/>
              <w:sz w:val="14"/>
            </w:rPr>
            <w:t>© 2026 Prof. Dr. Angel Antonio Gonzalez Martinez</w:t>
          </w:r>
        </w:p>
      </w:tc>
      <w:tc>
        <w:tcPr>
          <w:tcW w:type="dxa" w:w="3360"/>
        </w:tcPr>
        <w:p>
          <w:pPr>
            <w:jc w:val="right"/>
          </w:pPr>
          <w:r>
            <w:rPr>
              <w:rFonts w:ascii="Aptos" w:hAnsi="Aptos" w:eastAsia="Aptos"/>
              <w:color w:val="666666"/>
              <w:sz w:val="14"/>
            </w:rPr>
            <w:t>3ESPH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3E5E8"/>
      </w:pBdr>
    </w:pPr>
    <w:r>
      <w:rPr>
        <w:rFonts w:ascii="Aptos" w:hAnsi="Aptos" w:eastAsia="Aptos"/>
        <w:b/>
        <w:color w:val="666666"/>
        <w:sz w:val="16"/>
      </w:rPr>
      <w:t>FIAP 2026.2  |  C# SOFTWARE DEVELOPMENT  |  CP5  |  D03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