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20" w:after="80"/>
      </w:pPr>
      <w:r>
        <w:rPr>
          <w:rFonts w:ascii="Calibri" w:hAnsi="Calibri"/>
          <w:b/>
          <w:color w:val="000000"/>
          <w:sz w:val="46"/>
        </w:rPr>
        <w:t>OFFICE RESEARCH REPORT</w:t>
      </w:r>
    </w:p>
    <w:p>
      <w:pPr>
        <w:spacing w:after="280"/>
      </w:pPr>
      <w:r>
        <w:rPr>
          <w:rFonts w:ascii="Calibri" w:hAnsi="Calibri"/>
          <w:color w:val="444444"/>
          <w:sz w:val="26"/>
        </w:rPr>
        <w:t>Document parsing regression sample for Collector Issue #122</w:t>
      </w:r>
    </w:p>
    <w:p>
      <w:pPr>
        <w:spacing w:after="40"/>
      </w:pPr>
      <w:r>
        <w:rPr>
          <w:b/>
        </w:rPr>
        <w:t xml:space="preserve">Audience: </w:t>
      </w:r>
      <w:r>
        <w:t>Research-tool evaluators</w:t>
      </w:r>
    </w:p>
    <w:p>
      <w:pPr>
        <w:spacing w:after="40"/>
      </w:pPr>
      <w:r>
        <w:rPr>
          <w:b/>
        </w:rPr>
        <w:t xml:space="preserve">Status: </w:t>
      </w:r>
      <w:r>
        <w:t>Synthetic and public-safe</w:t>
      </w:r>
    </w:p>
    <w:p>
      <w:pPr>
        <w:spacing w:after="40"/>
      </w:pPr>
      <w:r>
        <w:rPr>
          <w:b/>
        </w:rPr>
        <w:t xml:space="preserve">Purpose: </w:t>
      </w:r>
      <w:r>
        <w:t>Office-document regression only; not the core research benchmark</w:t>
      </w:r>
    </w:p>
    <w:p>
      <w:pPr>
        <w:pStyle w:val="Heading1"/>
      </w:pPr>
      <w:r>
        <w:t>1. Executive summary</w:t>
      </w:r>
    </w:p>
    <w:p>
      <w:r>
        <w:t>This synthetic report checks whether a DOCX parser preserves headings, paragraphs, a real table, and an embedded image while keeping a stable paragraph-level location. It is intentionally ordinary: office documents are a regression group, not the benchmark's main research-material claim.</w:t>
      </w:r>
    </w:p>
    <w:p>
      <w:pPr>
        <w:pStyle w:val="Heading2"/>
      </w:pPr>
      <w:r>
        <w:t>1.1 Decision criteria</w:t>
      </w:r>
    </w:p>
    <w:p>
      <w:r>
        <w:t>A candidate passes this sample when the reading order is intact, the heading ladder remains visible, table cells remain associated with their row and column, and the figure is reported as an image resource rather than fabricated prose.</w:t>
      </w:r>
    </w:p>
    <w:p>
      <w:pPr>
        <w:pStyle w:val="Heading1"/>
      </w:pPr>
      <w:r>
        <w:t>2. Observed results</w:t>
      </w:r>
    </w:p>
    <w:tbl>
      <w:tblPr>
        <w:tblW w:type="dxa" w:w="9360"/>
        <w:jc w:val="left"/>
        <w:tblLayout w:type="fixed"/>
        <w:tblLook w:firstColumn="1" w:firstRow="1" w:lastColumn="0" w:lastRow="0" w:noHBand="0" w:noVBand="1" w:val="04A0"/>
        <w:tblInd w:w="120" w:type="dxa"/>
      </w:tblPr>
      <w:tblGrid>
        <w:gridCol w:w="2400"/>
        <w:gridCol w:w="3480"/>
        <w:gridCol w:w="3480"/>
      </w:tblGrid>
      <w:tr>
        <w:trPr>
          <w:tblHeader w:val="true"/>
        </w:trPr>
        <w:tc>
          <w:tcPr>
            <w:tcW w:type="dxa" w:w="2400"/>
            <w:vAlign w:val="center"/>
            <w:shd w:fill="F2F4F7"/>
            <w:tcMar>
              <w:top w:w="80" w:type="dxa"/>
              <w:start w:w="120" w:type="dxa"/>
              <w:bottom w:w="80" w:type="dxa"/>
              <w:end w:w="120" w:type="dxa"/>
            </w:tcMar>
          </w:tcPr>
          <w:p>
            <w:pPr>
              <w:spacing w:after="0"/>
            </w:pPr>
            <w:r>
              <w:rPr>
                <w:rFonts w:ascii="Calibri" w:hAnsi="Calibri"/>
                <w:b/>
                <w:sz w:val="20"/>
              </w:rPr>
              <w:t>Parser mode</w:t>
            </w:r>
          </w:p>
        </w:tc>
        <w:tc>
          <w:tcPr>
            <w:tcW w:type="dxa" w:w="3480"/>
            <w:vAlign w:val="center"/>
            <w:shd w:fill="F2F4F7"/>
            <w:tcMar>
              <w:top w:w="80" w:type="dxa"/>
              <w:start w:w="120" w:type="dxa"/>
              <w:bottom w:w="80" w:type="dxa"/>
              <w:end w:w="120" w:type="dxa"/>
            </w:tcMar>
          </w:tcPr>
          <w:p>
            <w:pPr>
              <w:spacing w:after="0"/>
            </w:pPr>
            <w:r>
              <w:rPr>
                <w:rFonts w:ascii="Calibri" w:hAnsi="Calibri"/>
                <w:b/>
                <w:sz w:val="20"/>
              </w:rPr>
              <w:t>Reading value</w:t>
            </w:r>
          </w:p>
        </w:tc>
        <w:tc>
          <w:tcPr>
            <w:tcW w:type="dxa" w:w="3480"/>
            <w:vAlign w:val="center"/>
            <w:shd w:fill="F2F4F7"/>
            <w:tcMar>
              <w:top w:w="80" w:type="dxa"/>
              <w:start w:w="120" w:type="dxa"/>
              <w:bottom w:w="80" w:type="dxa"/>
              <w:end w:w="120" w:type="dxa"/>
            </w:tcMar>
          </w:tcPr>
          <w:p>
            <w:pPr>
              <w:spacing w:after="0"/>
            </w:pPr>
            <w:r>
              <w:rPr>
                <w:rFonts w:ascii="Calibri" w:hAnsi="Calibri"/>
                <w:b/>
                <w:sz w:val="20"/>
              </w:rPr>
              <w:t>Citation value</w:t>
            </w:r>
          </w:p>
        </w:tc>
      </w:tr>
      <w:tr>
        <w:tc>
          <w:tcPr>
            <w:tcW w:type="dxa" w:w="2400"/>
            <w:vAlign w:val="center"/>
            <w:tcMar>
              <w:top w:w="80" w:type="dxa"/>
              <w:start w:w="120" w:type="dxa"/>
              <w:bottom w:w="80" w:type="dxa"/>
              <w:end w:w="120" w:type="dxa"/>
            </w:tcMar>
          </w:tcPr>
          <w:p>
            <w:pPr>
              <w:spacing w:after="0"/>
            </w:pPr>
            <w:r>
              <w:rPr>
                <w:rFonts w:ascii="Calibri" w:hAnsi="Calibri"/>
                <w:b w:val="0"/>
                <w:sz w:val="20"/>
              </w:rPr>
              <w:t>Plain text</w:t>
            </w:r>
          </w:p>
        </w:tc>
        <w:tc>
          <w:tcPr>
            <w:tcW w:type="dxa" w:w="3480"/>
            <w:vAlign w:val="center"/>
            <w:tcMar>
              <w:top w:w="80" w:type="dxa"/>
              <w:start w:w="120" w:type="dxa"/>
              <w:bottom w:w="80" w:type="dxa"/>
              <w:end w:w="120" w:type="dxa"/>
            </w:tcMar>
          </w:tcPr>
          <w:p>
            <w:pPr>
              <w:spacing w:after="0"/>
            </w:pPr>
            <w:r>
              <w:rPr>
                <w:rFonts w:ascii="Calibri" w:hAnsi="Calibri"/>
                <w:b w:val="0"/>
                <w:sz w:val="20"/>
              </w:rPr>
              <w:t>Partial</w:t>
            </w:r>
          </w:p>
        </w:tc>
        <w:tc>
          <w:tcPr>
            <w:tcW w:type="dxa" w:w="3480"/>
            <w:vAlign w:val="center"/>
            <w:tcMar>
              <w:top w:w="80" w:type="dxa"/>
              <w:start w:w="120" w:type="dxa"/>
              <w:bottom w:w="80" w:type="dxa"/>
              <w:end w:w="120" w:type="dxa"/>
            </w:tcMar>
          </w:tcPr>
          <w:p>
            <w:pPr>
              <w:spacing w:after="0"/>
            </w:pPr>
            <w:r>
              <w:rPr>
                <w:rFonts w:ascii="Calibri" w:hAnsi="Calibri"/>
                <w:b w:val="0"/>
                <w:sz w:val="20"/>
              </w:rPr>
              <w:t>Low</w:t>
            </w:r>
          </w:p>
        </w:tc>
      </w:tr>
      <w:tr>
        <w:tc>
          <w:tcPr>
            <w:tcW w:type="dxa" w:w="2400"/>
            <w:vAlign w:val="center"/>
            <w:tcMar>
              <w:top w:w="80" w:type="dxa"/>
              <w:start w:w="120" w:type="dxa"/>
              <w:bottom w:w="80" w:type="dxa"/>
              <w:end w:w="120" w:type="dxa"/>
            </w:tcMar>
          </w:tcPr>
          <w:p>
            <w:pPr>
              <w:spacing w:after="0"/>
            </w:pPr>
            <w:r>
              <w:rPr>
                <w:rFonts w:ascii="Calibri" w:hAnsi="Calibri"/>
                <w:b w:val="0"/>
                <w:sz w:val="20"/>
              </w:rPr>
              <w:t>Structure aware</w:t>
            </w:r>
          </w:p>
        </w:tc>
        <w:tc>
          <w:tcPr>
            <w:tcW w:type="dxa" w:w="3480"/>
            <w:vAlign w:val="center"/>
            <w:tcMar>
              <w:top w:w="80" w:type="dxa"/>
              <w:start w:w="120" w:type="dxa"/>
              <w:bottom w:w="80" w:type="dxa"/>
              <w:end w:w="120" w:type="dxa"/>
            </w:tcMar>
          </w:tcPr>
          <w:p>
            <w:pPr>
              <w:spacing w:after="0"/>
            </w:pPr>
            <w:r>
              <w:rPr>
                <w:rFonts w:ascii="Calibri" w:hAnsi="Calibri"/>
                <w:b w:val="0"/>
                <w:sz w:val="20"/>
              </w:rPr>
              <w:t>High</w:t>
            </w:r>
          </w:p>
        </w:tc>
        <w:tc>
          <w:tcPr>
            <w:tcW w:type="dxa" w:w="3480"/>
            <w:vAlign w:val="center"/>
            <w:tcMar>
              <w:top w:w="80" w:type="dxa"/>
              <w:start w:w="120" w:type="dxa"/>
              <w:bottom w:w="80" w:type="dxa"/>
              <w:end w:w="120" w:type="dxa"/>
            </w:tcMar>
          </w:tcPr>
          <w:p>
            <w:pPr>
              <w:spacing w:after="0"/>
            </w:pPr>
            <w:r>
              <w:rPr>
                <w:rFonts w:ascii="Calibri" w:hAnsi="Calibri"/>
                <w:b w:val="0"/>
                <w:sz w:val="20"/>
              </w:rPr>
              <w:t>High</w:t>
            </w:r>
          </w:p>
        </w:tc>
      </w:tr>
      <w:tr>
        <w:tc>
          <w:tcPr>
            <w:tcW w:type="dxa" w:w="2400"/>
            <w:vAlign w:val="center"/>
            <w:tcMar>
              <w:top w:w="80" w:type="dxa"/>
              <w:start w:w="120" w:type="dxa"/>
              <w:bottom w:w="80" w:type="dxa"/>
              <w:end w:w="120" w:type="dxa"/>
            </w:tcMar>
          </w:tcPr>
          <w:p>
            <w:pPr>
              <w:spacing w:after="0"/>
            </w:pPr>
            <w:r>
              <w:rPr>
                <w:rFonts w:ascii="Calibri" w:hAnsi="Calibri"/>
                <w:b w:val="0"/>
                <w:sz w:val="20"/>
              </w:rPr>
              <w:t>Silent fallback</w:t>
            </w:r>
          </w:p>
        </w:tc>
        <w:tc>
          <w:tcPr>
            <w:tcW w:type="dxa" w:w="3480"/>
            <w:vAlign w:val="center"/>
            <w:tcMar>
              <w:top w:w="80" w:type="dxa"/>
              <w:start w:w="120" w:type="dxa"/>
              <w:bottom w:w="80" w:type="dxa"/>
              <w:end w:w="120" w:type="dxa"/>
            </w:tcMar>
          </w:tcPr>
          <w:p>
            <w:pPr>
              <w:spacing w:after="0"/>
            </w:pPr>
            <w:r>
              <w:rPr>
                <w:rFonts w:ascii="Calibri" w:hAnsi="Calibri"/>
                <w:b w:val="0"/>
                <w:sz w:val="20"/>
              </w:rPr>
              <w:t>Misleading</w:t>
            </w:r>
          </w:p>
        </w:tc>
        <w:tc>
          <w:tcPr>
            <w:tcW w:type="dxa" w:w="3480"/>
            <w:vAlign w:val="center"/>
            <w:tcMar>
              <w:top w:w="80" w:type="dxa"/>
              <w:start w:w="120" w:type="dxa"/>
              <w:bottom w:w="80" w:type="dxa"/>
              <w:end w:w="120" w:type="dxa"/>
            </w:tcMar>
          </w:tcPr>
          <w:p>
            <w:pPr>
              <w:spacing w:after="0"/>
            </w:pPr>
            <w:r>
              <w:rPr>
                <w:rFonts w:ascii="Calibri" w:hAnsi="Calibri"/>
                <w:b w:val="0"/>
                <w:sz w:val="20"/>
              </w:rPr>
              <w:t>Unacceptable</w:t>
            </w:r>
          </w:p>
        </w:tc>
      </w:tr>
    </w:tbl>
    <w:p>
      <w:r>
        <w:t>Source: anonymous synthetic measurements for #122.</w:t>
      </w:r>
    </w:p>
    <w:p>
      <w:pPr>
        <w:jc w:val="center"/>
      </w:pPr>
      <w:r>
        <w:drawing>
          <wp:inline xmlns:a="http://schemas.openxmlformats.org/drawingml/2006/main" xmlns:pic="http://schemas.openxmlformats.org/drawingml/2006/picture">
            <wp:extent cx="5212080" cy="2432304"/>
            <wp:docPr id="1" name="Picture 1" descr="Bar chart showing four synthetic parser quality profiles labeled A through D" title="Synthetic quality profile"/>
            <wp:cNvGraphicFramePr>
              <a:graphicFrameLocks noChangeAspect="1"/>
            </wp:cNvGraphicFramePr>
            <a:graphic>
              <a:graphicData uri="http://schemas.openxmlformats.org/drawingml/2006/picture">
                <pic:pic>
                  <pic:nvPicPr>
                    <pic:cNvPr id="0" name="office-figure.tmp.png"/>
                    <pic:cNvPicPr/>
                  </pic:nvPicPr>
                  <pic:blipFill>
                    <a:blip r:embed="rId10"/>
                    <a:stretch>
                      <a:fillRect/>
                    </a:stretch>
                  </pic:blipFill>
                  <pic:spPr>
                    <a:xfrm>
                      <a:off x="0" y="0"/>
                      <a:ext cx="5212080" cy="2432304"/>
                    </a:xfrm>
                    <a:prstGeom prst="rect"/>
                  </pic:spPr>
                </pic:pic>
              </a:graphicData>
            </a:graphic>
          </wp:inline>
        </w:drawing>
      </w:r>
    </w:p>
    <w:p>
      <w:pPr>
        <w:jc w:val="center"/>
      </w:pPr>
      <w:r>
        <w:rPr>
          <w:i/>
          <w:sz w:val="18"/>
        </w:rPr>
        <w:t>Figure 1. Synthetic quality profile used only to test image extraction.</w:t>
      </w:r>
    </w:p>
    <w:p>
      <w:r>
        <w:br w:type="page"/>
      </w:r>
    </w:p>
    <w:p>
      <w:pPr>
        <w:pStyle w:val="Heading1"/>
      </w:pPr>
      <w:r>
        <w:t>3. Reproducibility notes</w:t>
      </w:r>
    </w:p>
    <w:p>
      <w:r>
        <w:t>The sample is generated from source code and contains no personal names, private files, external URLs, or copied publication text. A parser may legitimately omit visual styling, but it must not change the meaning of the table or invent a description for the figure.</w:t>
      </w:r>
    </w:p>
    <w:p>
      <w:pPr>
        <w:pStyle w:val="Heading2"/>
      </w:pPr>
      <w:r>
        <w:t>3.1 References</w:t>
      </w:r>
    </w:p>
    <w:p>
      <w:pPr>
        <w:pStyle w:val="ListNumber"/>
      </w:pPr>
      <w:r>
        <w:t>Example Standards Group. Structured office documents. Synthetic edition, 2025.</w:t>
      </w:r>
    </w:p>
    <w:p>
      <w:pPr>
        <w:pStyle w:val="ListNumber"/>
      </w:pPr>
      <w:r>
        <w:t>Collector Project. Anonymous document parsing protocol #122, 2026.</w:t>
      </w:r>
    </w:p>
    <w:sectPr w:rsidR="00FC693F" w:rsidRPr="0006063C" w:rsidSect="00034616">
      <w:headerReference w:type="default" r:id="rId9"/>
      <w:footerReference w:type="default" r:id="rId1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67085"/>
        <w:sz w:val="16"/>
      </w:rPr>
      <w:t>Collector #122 · Anonymous synthetic DOCX regression sample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67085"/>
        <w:sz w:val="17"/>
      </w:rPr>
      <w:t>TECHNICAL NOTE  |  ANONYMOUS SYNTHETIC SAMPLE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4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4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4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 office research report</dc:title>
  <dc:subject>Collector Issue #122 synthetic DOCX regression sample</dc:subject>
  <dc:creator>Collector Prototype #122</dc:creator>
  <cp:keywords/>
  <dc:description>generated by python-docx</dc:description>
  <cp:lastModifiedBy>Collector Prototype #122</cp:lastModifiedBy>
  <cp:revision>1</cp:revision>
  <dcterms:created xsi:type="dcterms:W3CDTF">2013-12-23T23:15:00Z</dcterms:created>
  <dcterms:modified xsi:type="dcterms:W3CDTF">2013-12-23T23:15:00Z</dcterms:modified>
  <cp:category/>
</cp:coreProperties>
</file>