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80"/>
      </w:pPr>
    </w:p>
    <w:p>
      <w:pPr>
        <w:jc w:val="center"/>
      </w:pPr>
      <w:r>
        <w:rPr>
          <w:color w:val="7A5A00"/>
          <w:sz w:val="20"/>
        </w:rPr>
        <w:t>BENCHMARK BUSINESS BRIEF</w:t>
      </w:r>
    </w:p>
    <w:p>
      <w:pPr>
        <w:jc w:val="center"/>
      </w:pPr>
      <w:r>
        <w:rPr>
          <w:b/>
          <w:color w:val="203748"/>
          <w:sz w:val="56"/>
        </w:rPr>
        <w:t>Recoverable Evidence Operations</w:t>
      </w:r>
    </w:p>
    <w:p>
      <w:pPr>
        <w:jc w:val="center"/>
      </w:pPr>
      <w:r>
        <w:rPr>
          <w:sz w:val="28"/>
        </w:rPr>
        <w:t>An eight-page office-document regression sample</w:t>
      </w:r>
    </w:p>
    <w:p>
      <w:pPr>
        <w:jc w:val="center"/>
      </w:pPr>
      <w:r>
        <w:t>Original synthetic content · headings, lists, merged cells, tables, images, fields, and OOXML footnotes.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document uses real Word styles and structures rather than visually imitated formatting. A useful parser should preserve headings, paragraph order, list levels, table cells, images, captions, and source-return notes.</w:t>
      </w:r>
    </w:p>
    <w:p>
      <w:pPr>
        <w:pStyle w:val="Heading2"/>
      </w:pPr>
      <w:r>
        <w:t>Decision criteria</w:t>
      </w:r>
    </w:p>
    <w:p>
      <w:pPr>
        <w:pStyle w:val="ListNumber"/>
        <w:ind w:left="720" w:hanging="360"/>
        <w:numPr>
          <w:ilvl w:val="0"/>
          <w:numId w:val="5"/>
        </w:numPr>
      </w:pPr>
      <w:r>
        <w:t>Preserve semantic headings before styling details.</w:t>
      </w:r>
    </w:p>
    <w:p>
      <w:pPr>
        <w:pStyle w:val="ListNumber"/>
        <w:ind w:left="720" w:hanging="360"/>
        <w:numPr>
          <w:ilvl w:val="0"/>
          <w:numId w:val="5"/>
        </w:numPr>
      </w:pPr>
      <w:r>
        <w:t>Keep lists as real numbered paragraphs, including nested levels.</w:t>
      </w:r>
    </w:p>
    <w:p>
      <w:pPr>
        <w:pStyle w:val="ListNumber2"/>
        <w:ind w:left="1080" w:hanging="360"/>
        <w:numPr>
          <w:ilvl w:val="1"/>
          <w:numId w:val="5"/>
        </w:numPr>
      </w:pPr>
      <w:r>
        <w:t>Nested review: return each result to a source block.</w:t>
      </w:r>
    </w:p>
    <w:p>
      <w:pPr>
        <w:pStyle w:val="ListNumber"/>
        <w:ind w:left="720" w:hanging="360"/>
        <w:numPr>
          <w:ilvl w:val="0"/>
          <w:numId w:val="5"/>
        </w:numPr>
      </w:pPr>
      <w:r>
        <w:t>Expose table merges and repeated headers without inventing cells.</w:t>
      </w:r>
    </w:p>
    <w:p>
      <w:pPr>
        <w:pStyle w:val="ListNumber"/>
        <w:ind w:left="720" w:hanging="360"/>
        <w:numPr>
          <w:ilvl w:val="0"/>
          <w:numId w:val="5"/>
        </w:numPr>
      </w:pPr>
      <w:r>
        <w:t>Disclose missing images or footnotes explicitly.</w:t>
      </w:r>
    </w:p>
    <w:p>
      <w:pPr>
        <w:pStyle w:val="Heading3"/>
      </w:pPr>
      <w:r>
        <w:t>Source-return exception</w:t>
      </w:r>
    </w:p>
    <w:p>
      <w:r/>
      <w:r>
        <w:footnoteReference w:id="1"/>
      </w:r>
      <w:r/>
    </w:p>
    <w:p>
      <w:r>
        <w:br w:type="page"/>
      </w:r>
    </w:p>
    <w:p>
      <w:pPr>
        <w:pStyle w:val="Heading1"/>
      </w:pPr>
      <w:r>
        <w:t>Observed results</w:t>
      </w:r>
    </w:p>
    <w:p>
      <w:pPr>
        <w:pStyle w:val="Heading2"/>
      </w:pPr>
      <w:r>
        <w:t>Merged-cell decision matrix</w:t>
      </w:r>
    </w:p>
    <w:tbl>
      <w:tblPr>
        <w:tblStyle w:val="TableGrid"/>
        <w:jc w:val="left"/>
        <w:tblLayout w:type="fixed"/>
        <w:tblLook w:firstColumn="1" w:firstRow="1" w:lastColumn="0" w:lastRow="0" w:noHBand="0" w:noVBand="1" w:val="04A0"/>
        <w:tblW w:w="9360" w:type="dxa"/>
        <w:tblInd w:w="80" w:type="dxa"/>
      </w:tblPr>
      <w:tblGrid>
        <w:gridCol w:w="2100"/>
        <w:gridCol w:w="3660"/>
        <w:gridCol w:w="3600"/>
      </w:tblGrid>
      <w:tr>
        <w:trPr>
          <w:tblHeader w:val="true"/>
        </w:trPr>
        <w:tc>
          <w:tcPr>
            <w:gridSpan w:val="3"/>
            <w:tcMar>
              <w:top w:w="45" w:type="dxa"/>
              <w:start w:w="80" w:type="dxa"/>
              <w:bottom w:w="45" w:type="dxa"/>
              <w:end w:w="80" w:type="dxa"/>
            </w:tcMar>
            <w:tcW w:w="9360" w:type="dxa"/>
            <w:shd w:fill="E8EEF5"/>
          </w:tcPr>
          <w:p>
            <w:pPr>
              <w:spacing w:after="0" w:line="216" w:lineRule="auto"/>
            </w:pPr>
            <w:r>
              <w:rPr>
                <w:sz w:val="16"/>
              </w:rPr>
              <w:t>Evidence recovery decision matrix</w:t>
            </w:r>
          </w:p>
        </w:tc>
      </w:tr>
      <w:tr>
        <w:trPr>
          <w:tblHeader w:val="true"/>
        </w:trPr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2100" w:type="dxa"/>
            <w:shd w:fill="F2F4F7"/>
          </w:tcPr>
          <w:p>
            <w:pPr>
              <w:spacing w:after="0" w:line="216" w:lineRule="auto"/>
            </w:pPr>
            <w:r>
              <w:rPr>
                <w:sz w:val="16"/>
              </w:rPr>
              <w:t>Object</w:t>
            </w:r>
          </w:p>
        </w:tc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3660" w:type="dxa"/>
            <w:shd w:fill="F2F4F7"/>
          </w:tcPr>
          <w:p>
            <w:pPr>
              <w:spacing w:after="0" w:line="216" w:lineRule="auto"/>
            </w:pPr>
            <w:r>
              <w:rPr>
                <w:sz w:val="16"/>
              </w:rPr>
              <w:t>Recovery expectation</w:t>
            </w:r>
          </w:p>
        </w:tc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3600" w:type="dxa"/>
            <w:shd w:fill="F2F4F7"/>
          </w:tcPr>
          <w:p>
            <w:pPr>
              <w:spacing w:after="0" w:line="216" w:lineRule="auto"/>
            </w:pPr>
            <w:r>
              <w:rPr>
                <w:sz w:val="16"/>
              </w:rPr>
              <w:t>Honest downgrade</w:t>
            </w:r>
          </w:p>
        </w:tc>
      </w:tr>
      <w:tr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2100" w:type="dxa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Headings</w:t>
            </w:r>
          </w:p>
        </w:tc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3660" w:type="dxa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Style hierarchy and sequence</w:t>
            </w:r>
          </w:p>
        </w:tc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3600" w:type="dxa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Keep raw text with hierarchy unknown</w:t>
            </w:r>
          </w:p>
        </w:tc>
      </w:tr>
      <w:tr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2100" w:type="dxa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Footnotes</w:t>
            </w:r>
          </w:p>
        </w:tc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3660" w:type="dxa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Reference and note body</w:t>
            </w:r>
          </w:p>
        </w:tc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3600" w:type="dxa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Report note as unavailable</w:t>
            </w:r>
          </w:p>
        </w:tc>
      </w:tr>
    </w:tbl>
    <w:p>
      <w:pPr>
        <w:pStyle w:val="Caption"/>
      </w:pPr>
      <w:r>
        <w:t>Table 1. Merged title row and structured body cells.</w:t>
      </w:r>
    </w:p>
    <w:p>
      <w:r>
        <w:br w:type="page"/>
      </w:r>
    </w:p>
    <w:p>
      <w:pPr>
        <w:pStyle w:val="Heading1"/>
      </w:pPr>
      <w:r>
        <w:t>Cross-page review register</w:t>
      </w:r>
    </w:p>
    <w:p>
      <w:r>
        <w:t>The register contains 32 distinct records. Its first row is a repeating header and the row height makes the table continue from page 4 onto page 5 in Microsoft Word.</w:t>
      </w:r>
    </w:p>
    <w:tbl>
      <w:tblPr>
        <w:tblStyle w:val="TableGrid"/>
        <w:jc w:val="left"/>
        <w:tblLayout w:type="fixed"/>
        <w:tblLook w:firstColumn="1" w:firstRow="1" w:lastColumn="0" w:lastRow="0" w:noHBand="0" w:noVBand="1" w:val="04A0"/>
        <w:tblW w:w="8960" w:type="dxa"/>
        <w:tblInd w:w="80" w:type="dxa"/>
      </w:tblPr>
      <w:tblGrid>
        <w:gridCol w:w="780"/>
        <w:gridCol w:w="2100"/>
        <w:gridCol w:w="2600"/>
        <w:gridCol w:w="3480"/>
      </w:tblGrid>
      <w:tr>
        <w:trPr>
          <w:tblHeader w:val="true"/>
          <w:trHeight w:val="360" w:hRule="atLeast"/>
        </w:trPr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780" w:type="dxa"/>
            <w:shd w:fill="F2F4F7"/>
          </w:tcPr>
          <w:p>
            <w:pPr>
              <w:spacing w:after="0" w:line="216" w:lineRule="auto"/>
            </w:pPr>
            <w:r>
              <w:rPr>
                <w:sz w:val="16"/>
              </w:rPr>
              <w:t>ID</w:t>
            </w:r>
          </w:p>
        </w:tc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2100" w:type="dxa"/>
            <w:shd w:fill="F2F4F7"/>
          </w:tcPr>
          <w:p>
            <w:pPr>
              <w:spacing w:after="0" w:line="216" w:lineRule="auto"/>
            </w:pPr>
            <w:r>
              <w:rPr>
                <w:sz w:val="16"/>
              </w:rPr>
              <w:t>Object</w:t>
            </w:r>
          </w:p>
        </w:tc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2600" w:type="dxa"/>
            <w:shd w:fill="F2F4F7"/>
          </w:tcPr>
          <w:p>
            <w:pPr>
              <w:spacing w:after="0" w:line="216" w:lineRule="auto"/>
            </w:pPr>
            <w:r>
              <w:rPr>
                <w:sz w:val="16"/>
              </w:rPr>
              <w:t>Expected recovery</w:t>
            </w:r>
          </w:p>
        </w:tc>
        <w:tc>
          <w:tcPr>
            <w:tcMar>
              <w:top w:w="45" w:type="dxa"/>
              <w:start w:w="80" w:type="dxa"/>
              <w:bottom w:w="45" w:type="dxa"/>
              <w:end w:w="80" w:type="dxa"/>
            </w:tcMar>
            <w:tcW w:w="3480" w:type="dxa"/>
            <w:shd w:fill="F2F4F7"/>
          </w:tcPr>
          <w:p>
            <w:pPr>
              <w:spacing w:after="0" w:line="216" w:lineRule="auto"/>
            </w:pPr>
            <w:r>
              <w:rPr>
                <w:sz w:val="16"/>
              </w:rPr>
              <w:t>Failure disclosure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R-01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Heading 1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heading 1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heading 1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R-02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Heading 2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heading 2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heading 2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R-03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Heading 3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heading 3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heading 3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R-04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Numbered list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numbered list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numbered list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R-05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Nested list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nested list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nested list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R-06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Merged cells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merged cells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merged cells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R-07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Table header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table header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table header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R-08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Table continuation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table continuation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table continuation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R-09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Inline image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inline image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inline image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Caption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caption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caption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R-11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Footnote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footnote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footnote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R-12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Page field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page field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page field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R-13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Header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header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header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R-14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Footer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footer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footer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R-15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Source list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source list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source list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R-16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Reference entry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reference entry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reference entry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R-17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Executive paragraph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executive paragraph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executive paragraph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R-18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Decision criterion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decision criterion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decision criterion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R-19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Exception note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exception note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exception note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Matrix cell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matrix cell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matrix cell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R-21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Register cell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register cell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register cell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R-22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Merged title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merged title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merged title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R-23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Alt text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alt text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alt text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R-24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Section break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section break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section break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R-25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Page break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page break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page break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R-26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Appendix heading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appendix heading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appendix heading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R-27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Appendix checklist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appendix checklist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appendix checklist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R-28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Provenance note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provenance note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provenance note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R-29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Version string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version string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version string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R-30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Object locator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object locator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object locator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R-31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Partial-result note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partial-result note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partial-result note gap</w:t>
            </w:r>
          </w:p>
        </w:tc>
      </w:tr>
      <w:tr>
        <w:trPr>
          <w:trHeight w:val="720" w:hRule="atLeast"/>
        </w:trPr>
        <w:tc>
          <w:tcPr>
            <w:tcW w:type="dxa" w:w="7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R-32</w:t>
            </w:r>
          </w:p>
        </w:tc>
        <w:tc>
          <w:tcPr>
            <w:tcW w:type="dxa" w:w="21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Final review</w:t>
            </w:r>
          </w:p>
        </w:tc>
        <w:tc>
          <w:tcPr>
            <w:tcW w:type="dxa" w:w="260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Preserve final review with a return path</w:t>
            </w:r>
          </w:p>
        </w:tc>
        <w:tc>
          <w:tcPr>
            <w:tcW w:type="dxa" w:w="3480"/>
            <w:vAlign w:val="center"/>
          </w:tcPr>
          <w:p>
            <w:pPr>
              <w:spacing w:after="0" w:line="216" w:lineRule="auto"/>
            </w:pPr>
            <w:r>
              <w:rPr>
                <w:sz w:val="16"/>
              </w:rPr>
              <w:t>If absent, disclose the final review gap</w:t>
            </w:r>
          </w:p>
        </w:tc>
      </w:tr>
    </w:tbl>
    <w:p>
      <w:r>
        <w:br w:type="page"/>
      </w:r>
    </w:p>
    <w:p>
      <w:pPr>
        <w:pStyle w:val="Heading1"/>
      </w:pPr>
      <w:r>
        <w:t>Figure evidence</w:t>
      </w:r>
    </w:p>
    <w:p>
      <w:pPr>
        <w:pStyle w:val="Heading2"/>
      </w:pPr>
      <w:r>
        <w:t>Inline image and caption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811780"/>
            <wp:docPr id="1" name="Picture 1" descr="Bar chart of four synthetic evidence-recovery dimen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e-figure.t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81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Synthetic evidence-recovery profile used only for image and caption extraction.</w:t>
      </w:r>
    </w:p>
    <w:p>
      <w:pPr>
        <w:pStyle w:val="Heading2"/>
      </w:pPr>
      <w:r>
        <w:t>Reproducibility notes</w:t>
      </w:r>
    </w:p>
    <w:p>
      <w:r>
        <w:t>The chart is inline rather than floating so the caption has a stable neighbouring relationship. The register ends before this section; an extractor must not report the figure as an additional register row.</w:t>
      </w:r>
    </w:p>
    <w:p>
      <w:r>
        <w:br w:type="page"/>
      </w:r>
    </w:p>
    <w:p>
      <w:pPr>
        <w:pStyle w:val="Heading1"/>
      </w:pPr>
      <w:r>
        <w:t>Appendix A: review procedure</w:t>
      </w:r>
    </w:p>
    <w:p>
      <w:pPr>
        <w:pStyle w:val="Heading2"/>
      </w:pPr>
      <w:r>
        <w:t>Procedure detail</w:t>
      </w:r>
    </w:p>
    <w:p>
      <w:r>
        <w:t>Reviewers first confirm document-level usefulness, then check diagnostic anchors. The two levels are intentionally separate: a document can contain all words while still losing the relationships that make a research claim inspectable.</w:t>
      </w:r>
    </w:p>
    <w:p>
      <w:pPr>
        <w:pStyle w:val="Heading3"/>
      </w:pPr>
      <w:r>
        <w:t>Structure audit</w:t>
      </w:r>
    </w:p>
    <w:p>
      <w:pPr>
        <w:pStyle w:val="ListBullet"/>
      </w:pPr>
      <w:r>
        <w:t>Confirm real Heading 1, Heading 2, and Heading 3 styles.</w:t>
      </w:r>
    </w:p>
    <w:p>
      <w:pPr>
        <w:pStyle w:val="ListBullet"/>
      </w:pPr>
      <w:r>
        <w:t>Confirm numbered paragraphs retain two levels.</w:t>
      </w:r>
    </w:p>
    <w:p>
      <w:pPr>
        <w:pStyle w:val="ListBullet"/>
      </w:pPr>
      <w:r>
        <w:t>Confirm merged table cell and repeated header are detectable.</w:t>
      </w:r>
    </w:p>
    <w:p>
      <w:pPr>
        <w:pStyle w:val="ListBullet"/>
      </w:pPr>
      <w:r>
        <w:t>Confirm inline image, Caption, footnote part, and PAGE field exist.</w:t>
      </w:r>
    </w:p>
    <w:p>
      <w:r>
        <w:t>The long register on pages 4–5 is deliberately made of individual, meaningful records. A parser should preserve their order and header relationship, rather than joining them into one broad narrative paragraph.</w:t>
      </w:r>
    </w:p>
    <w:p>
      <w:r>
        <w:br w:type="page"/>
      </w:r>
    </w:p>
    <w:p>
      <w:pPr>
        <w:pStyle w:val="Heading1"/>
      </w:pPr>
      <w:r>
        <w:t>Appendix B: sources and final checklist</w:t>
      </w:r>
    </w:p>
    <w:p>
      <w:r>
        <w:t>All prose, data, and the chart in this DOCX are original synthetic benchmark material. The appendix is retained on its own page to test long-document navigation as well as final-page extraction.</w:t>
      </w:r>
    </w:p>
    <w:p>
      <w:pPr>
        <w:pStyle w:val="Heading2"/>
      </w:pPr>
      <w:r>
        <w:t>Reference list</w:t>
      </w:r>
    </w:p>
    <w:p>
      <w:pPr>
        <w:pStyle w:val="ListNumber"/>
      </w:pPr>
      <w:r>
        <w:t>Collector Prototype. Complex office regression specification #122, 2026.</w:t>
      </w:r>
    </w:p>
    <w:p>
      <w:pPr>
        <w:pStyle w:val="ListNumber"/>
      </w:pPr>
      <w:r>
        <w:t>Example Standards Group. Recoverable document evidence. Synthetic edition, 2026.</w:t>
      </w:r>
    </w:p>
    <w:p>
      <w:pPr>
        <w:pStyle w:val="Heading2"/>
      </w:pPr>
      <w:r>
        <w:t>Final review</w:t>
      </w:r>
    </w:p>
    <w:p>
      <w:r>
        <w:t>Before accepting a result, confirm the source title, the repeated table header, the chart caption, the real footnote, and the footer page field. Any missing object must remain visible as a partial result rather than being filled with guessed content.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Collector #122 · Page </w:t>
    </w:r>
    <w:fldSimple w:instr=" PAGE "/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> This footnote is a real OOXML note used to test source-return handling.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</w:rPr>
      <w:t>RESEARCH OPERATIONS BRIEF  |  SYNTHETIC COMPLEX DOCX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Footnotes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