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003B49"/>
          <w:sz w:val="48"/>
        </w:rPr>
        <w:t>Análise de Carteira — Roteiro e Processo</w:t>
      </w:r>
    </w:p>
    <w:p>
      <w:r>
        <w:rPr>
          <w:i/>
          <w:color w:val="5C7278"/>
          <w:sz w:val="22"/>
        </w:rPr>
        <w:t>Documento interno — Fincare Investimentos</w:t>
        <w:br/>
        <w:t>Material de referência do assessor e, se a operação crescer, base de treinamento para novos assessores.</w:t>
      </w:r>
    </w:p>
    <w:p/>
    <w:p>
      <w:pPr>
        <w:spacing w:before="40" w:after="40"/>
      </w:pPr>
      <w:r>
        <w:rPr>
          <w:color w:val="D9E4E4"/>
          <w:sz w:val="16"/>
        </w:rPr>
        <w:t>────────────────────────────────────────</w:t>
      </w:r>
    </w:p>
    <w:p>
      <w:pPr>
        <w:pStyle w:val="Heading1"/>
      </w:pPr>
      <w:r>
        <w:rPr>
          <w:color w:val="003B49"/>
          <w:sz w:val="32"/>
        </w:rPr>
        <w:t>1. Visão Geral</w:t>
      </w:r>
    </w:p>
    <w:p>
      <w:r/>
      <w:r>
        <w:rPr>
          <w:b/>
        </w:rPr>
        <w:t>O que é.</w:t>
      </w:r>
      <w:r>
        <w:t xml:space="preserve"> A Análise de Carteira é um diagnóstico gratuito oferecido a prospects antes de eles se tornarem clientes formais da assessoria. O objetivo é gerar confiança e demonstrar valor real — mostrando que existe um problema (ou oportunidade) concreto na carteira atual da pessoa — sem que isso vire uma consultoria gratuita completa. Entrega-se o diagnóstico; a solução fica associada a virar cliente.</w:t>
      </w:r>
    </w:p>
    <w:p>
      <w:r/>
      <w:r>
        <w:rPr>
          <w:b/>
        </w:rPr>
        <w:t>Quando oferecer.</w:t>
      </w:r>
      <w:r>
        <w:t xml:space="preserve"> Somente a prospects que já passaram pelo simulador e/ou já demonstraram interesse ativo. Nunca é uma oferta fria — a Análise de Carteira é o passo seguinte de quem já se engajou, não um gancho de prospecção para tráfego não qualificado.</w:t>
      </w:r>
    </w:p>
    <w:p>
      <w:r/>
      <w:r>
        <w:rPr>
          <w:b/>
        </w:rPr>
        <w:t>Formato e duração.</w:t>
      </w:r>
      <w:r>
        <w:t xml:space="preserve"> 20 a 30 minutos, sempre ao vivo — call de vídeo/voz ou presencial. Nunca por formulário, PDF ou qualquer material assíncrono que o prospect preencha ou leia sozinho.</w:t>
      </w:r>
    </w:p>
    <w:p>
      <w:pPr>
        <w:pStyle w:val="Heading1"/>
      </w:pPr>
      <w:r>
        <w:rPr>
          <w:color w:val="003B49"/>
          <w:sz w:val="32"/>
        </w:rPr>
        <w:t>2. O Princípio Central — "Diagnóstico é grátis, prescrição é o serviço"</w:t>
      </w:r>
    </w:p>
    <w:p>
      <w:r>
        <w:t>A lógica que organiza toda a condução da Análise de Carteira:</w:t>
      </w:r>
    </w:p>
    <w:p>
      <w:pPr>
        <w:pStyle w:val="ListBullet"/>
      </w:pPr>
      <w:r/>
      <w:r>
        <w:rPr>
          <w:b/>
        </w:rPr>
        <w:t>Entrega-se</w:t>
      </w:r>
      <w:r>
        <w:t xml:space="preserve"> o </w:t>
      </w:r>
      <w:r>
        <w:rPr>
          <w:b/>
        </w:rPr>
        <w:t>"o quê"</w:t>
      </w:r>
      <w:r>
        <w:t xml:space="preserve"> e o </w:t>
      </w:r>
      <w:r>
        <w:rPr>
          <w:b/>
        </w:rPr>
        <w:t>"por quê"</w:t>
      </w:r>
      <w:r>
        <w:t xml:space="preserve"> — o diagnóstico, a categoria do problema, o nível de risco envolvido.</w:t>
      </w:r>
    </w:p>
    <w:p>
      <w:pPr>
        <w:pStyle w:val="ListBullet"/>
      </w:pPr>
      <w:r/>
      <w:r>
        <w:rPr>
          <w:b/>
        </w:rPr>
        <w:t>Nunca se entrega</w:t>
      </w:r>
      <w:r>
        <w:t xml:space="preserve">, nessa etapa, o </w:t>
      </w:r>
      <w:r>
        <w:rPr>
          <w:b/>
        </w:rPr>
        <w:t>"como"</w:t>
      </w:r>
      <w:r>
        <w:t xml:space="preserve"> e o </w:t>
      </w:r>
      <w:r>
        <w:rPr>
          <w:b/>
        </w:rPr>
        <w:t>"com quê"</w:t>
      </w:r>
      <w:r>
        <w:t xml:space="preserve"> — o instrumento específico a usar, o plano de execução.</w:t>
      </w:r>
    </w:p>
    <w:p>
      <w:r/>
      <w:r>
        <w:rPr>
          <w:b/>
        </w:rPr>
        <w:t>Justificativa dupla:</w:t>
      </w:r>
      <w:r/>
    </w:p>
    <w:p>
      <w:pPr>
        <w:pStyle w:val="ListBullet"/>
      </w:pPr>
      <w:r/>
      <w:r>
        <w:rPr>
          <w:b/>
        </w:rPr>
        <w:t>Comercial:</w:t>
      </w:r>
      <w:r>
        <w:t xml:space="preserve"> entregar o instrumento específico de graça elimina o motivo prático de a pessoa precisar do assessor depois — o valor da assessoria está em resolver o "como", não só em apontar o "o quê".</w:t>
      </w:r>
    </w:p>
    <w:p>
      <w:pPr>
        <w:pStyle w:val="ListBullet"/>
      </w:pPr>
      <w:r/>
      <w:r>
        <w:rPr>
          <w:b/>
        </w:rPr>
        <w:t>Regulatória:</w:t>
      </w:r>
      <w:r>
        <w:t xml:space="preserve"> recomendação individualizada de investimento pressupõe um processo de adequação (suitability) formal, que só existe uma vez que a pessoa é cliente formalizado. Fazer recomendação específica antes disso é tecnicamente incorreto e expõe a assessoria.</w:t>
      </w:r>
    </w:p>
    <w:p>
      <w:pPr>
        <w:pStyle w:val="Heading1"/>
      </w:pPr>
      <w:r>
        <w:rPr>
          <w:color w:val="003B49"/>
          <w:sz w:val="32"/>
        </w:rPr>
        <w:t>3. Tabela de Referência Rápida — Categoria vs. Instrumento</w:t>
      </w:r>
    </w:p>
    <w:p>
      <w:r>
        <w:t>Use esta tabela como consulta rápida durante a call. Coluna da esquerda é o que pode ser dito livremente; coluna da direita é o que nunca deve ser dito fora de um processo formal de cliente.</w:t>
      </w:r>
    </w:p>
    <w:tbl>
      <w:tblPr>
        <w:tblStyle w:val="TableGrid"/>
        <w:tblW w:type="auto" w:w="0"/>
        <w:jc w:val="center"/>
        <w:tblLook w:firstColumn="1" w:firstRow="1" w:lastColumn="0" w:lastRow="0" w:noHBand="0" w:noVBand="1" w:val="04A0"/>
      </w:tblPr>
      <w:tblGrid>
        <w:gridCol w:w="4320"/>
        <w:gridCol w:w="4320"/>
      </w:tblGrid>
      <w:tr>
        <w:tc>
          <w:tcPr>
            <w:tcW w:type="dxa" w:w="4320"/>
            <w:shd w:fill="003b49"/>
          </w:tcPr>
          <w:p>
            <w:r/>
            <w:r>
              <w:rPr>
                <w:b/>
                <w:color w:val="FFFFFF"/>
              </w:rPr>
              <w:t>Pode dizer (categoria / princípio)</w:t>
            </w:r>
          </w:p>
        </w:tc>
        <w:tc>
          <w:tcPr>
            <w:tcW w:type="dxa" w:w="4320"/>
            <w:shd w:fill="003b49"/>
          </w:tcPr>
          <w:p>
            <w:r/>
            <w:r>
              <w:rPr>
                <w:b/>
                <w:color w:val="FFFFFF"/>
              </w:rPr>
              <w:t>Nunca diga de graça (instrumento específico)</w:t>
            </w:r>
          </w:p>
        </w:tc>
      </w:tr>
      <w:tr>
        <w:tc>
          <w:tcPr>
            <w:tcW w:type="dxa" w:w="4320"/>
            <w:shd w:fill="f4f9fc"/>
          </w:tcPr>
          <w:p>
            <w:r/>
            <w:r>
              <w:t>Concentração excessiva num único ativo/classe</w:t>
            </w:r>
          </w:p>
        </w:tc>
        <w:tc>
          <w:tcPr>
            <w:tcW w:type="dxa" w:w="4320"/>
          </w:tcPr>
          <w:p>
            <w:r/>
            <w:r>
              <w:t>Venda o fundo X</w:t>
            </w:r>
          </w:p>
        </w:tc>
      </w:tr>
      <w:tr>
        <w:tc>
          <w:tcPr>
            <w:tcW w:type="dxa" w:w="4320"/>
            <w:shd w:fill="f4f9fc"/>
          </w:tcPr>
          <w:p>
            <w:r/>
            <w:r>
              <w:t>Alocação desatualizada pro cenário de juros atual</w:t>
            </w:r>
          </w:p>
        </w:tc>
        <w:tc>
          <w:tcPr>
            <w:tcW w:type="dxa" w:w="4320"/>
          </w:tcPr>
          <w:p>
            <w:r/>
            <w:r>
              <w:t>Compre o título Y, vencimento Z</w:t>
            </w:r>
          </w:p>
        </w:tc>
      </w:tr>
      <w:tr>
        <w:tc>
          <w:tcPr>
            <w:tcW w:type="dxa" w:w="4320"/>
            <w:shd w:fill="f4f9fc"/>
          </w:tcPr>
          <w:p>
            <w:r/>
            <w:r>
              <w:t>Falta de proteção contra um risco específico</w:t>
            </w:r>
          </w:p>
        </w:tc>
        <w:tc>
          <w:tcPr>
            <w:tcW w:type="dxa" w:w="4320"/>
          </w:tcPr>
          <w:p>
            <w:r/>
            <w:r>
              <w:t>Contrate o produto W</w:t>
            </w:r>
          </w:p>
        </w:tc>
      </w:tr>
      <w:tr>
        <w:tc>
          <w:tcPr>
            <w:tcW w:type="dxa" w:w="4320"/>
            <w:shd w:fill="f4f9fc"/>
          </w:tcPr>
          <w:p>
            <w:r/>
            <w:r>
              <w:t>Estrutura sucessória pouco desenvolvida</w:t>
            </w:r>
          </w:p>
        </w:tc>
        <w:tc>
          <w:tcPr>
            <w:tcW w:type="dxa" w:w="4320"/>
          </w:tcPr>
          <w:p>
            <w:r/>
            <w:r>
              <w:t>Abra uma holding modelo tal</w:t>
            </w:r>
          </w:p>
        </w:tc>
      </w:tr>
      <w:tr>
        <w:tc>
          <w:tcPr>
            <w:tcW w:type="dxa" w:w="4320"/>
            <w:shd w:fill="f4f9fc"/>
          </w:tcPr>
          <w:p>
            <w:r/>
            <w:r>
              <w:t>(adicionar)</w:t>
            </w:r>
          </w:p>
        </w:tc>
        <w:tc>
          <w:tcPr>
            <w:tcW w:type="dxa" w:w="4320"/>
          </w:tcPr>
          <w:p>
            <w:r/>
            <w:r>
              <w:t>(adicionar)</w:t>
            </w:r>
          </w:p>
        </w:tc>
      </w:tr>
      <w:tr>
        <w:tc>
          <w:tcPr>
            <w:tcW w:type="dxa" w:w="4320"/>
            <w:shd w:fill="f4f9fc"/>
          </w:tcPr>
          <w:p>
            <w:r/>
            <w:r>
              <w:t>(adicionar)</w:t>
            </w:r>
          </w:p>
        </w:tc>
        <w:tc>
          <w:tcPr>
            <w:tcW w:type="dxa" w:w="4320"/>
          </w:tcPr>
          <w:p>
            <w:r/>
            <w:r>
              <w:t>(adicionar)</w:t>
            </w:r>
          </w:p>
        </w:tc>
      </w:tr>
    </w:tbl>
    <w:p/>
    <w:p>
      <w:r>
        <w:rPr>
          <w:b/>
          <w:color w:val="2B7E7E"/>
        </w:rPr>
        <w:t xml:space="preserve">Nota: </w:t>
      </w:r>
      <w:r>
        <w:rPr>
          <w:i/>
          <w:color w:val="5C7278"/>
        </w:rPr>
        <w:t>tabela viva — complementar com novos pares categoria/instrumento conforme surgirem em calls reais.</w:t>
      </w:r>
    </w:p>
    <w:p>
      <w:pPr>
        <w:pStyle w:val="Heading1"/>
      </w:pPr>
      <w:r>
        <w:rPr>
          <w:color w:val="003B49"/>
          <w:sz w:val="32"/>
        </w:rPr>
        <w:t>4. Roteiro da Conversa, em 4 Momentos</w:t>
      </w:r>
    </w:p>
    <w:p>
      <w:pPr>
        <w:pStyle w:val="Heading2"/>
      </w:pPr>
      <w:r>
        <w:rPr>
          <w:color w:val="2B7E7E"/>
          <w:sz w:val="26"/>
        </w:rPr>
        <w:t>4.1 Abertura (0–3 min)</w:t>
      </w:r>
    </w:p>
    <w:p>
      <w:r>
        <w:t>Enquadrar a conversa antes mesmo de começar o diagnóstico propriamente dito, deixando explícito o limite: hoje é diagnóstico, plano específico depois — se fizer sentido para os dois lados.</w:t>
      </w:r>
    </w:p>
    <w:p>
      <w:pPr>
        <w:spacing w:before="80" w:after="160"/>
        <w:ind w:left="454"/>
        <w:pBdr>
          <w:left w:val="single" w:sz="18" w:space="8" w:color="2b7e7e"/>
        </w:pBdr>
      </w:pPr>
      <w:r>
        <w:rPr>
          <w:i/>
          <w:color w:val="003B49"/>
        </w:rPr>
        <w:t>"Antes de começar, só para alinharmos: nos próximos 20, 25 minutos eu vou te ajudar a enxergar como está sua carteira hoje — os pontos fortes e os pontos de atenção. Isso é um diagnóstico, não uma recomendação de produto. Se ao final fizer sentido pra você aprofundar e montar um plano específico, a gente conversa sobre isso como próximo passo. Combinado?"</w:t>
      </w:r>
    </w:p>
    <w:p>
      <w:r>
        <w:rPr>
          <w:b/>
          <w:color w:val="2B7E7E"/>
        </w:rPr>
        <w:t xml:space="preserve">Por que importa: </w:t>
      </w:r>
      <w:r>
        <w:rPr>
          <w:i/>
          <w:color w:val="5C7278"/>
        </w:rPr>
        <w:t>essa fala faz o enquadramento (framing) antes de qualquer conteúdo ser trocado, o que evita que o prospect chegue ao fim da call esperando uma recomendação pronta e se frustre com o limite. Também reduz a chance de precisar reforçar o limite de forma defensiva mais tarde.</w:t>
      </w:r>
    </w:p>
    <w:p>
      <w:pPr>
        <w:pStyle w:val="Heading2"/>
      </w:pPr>
      <w:r>
        <w:rPr>
          <w:color w:val="2B7E7E"/>
          <w:sz w:val="26"/>
        </w:rPr>
        <w:t>4.2 Descoberta (3–8 min)</w:t>
      </w:r>
    </w:p>
    <w:p>
      <w:r>
        <w:t>Perguntas abertas sobre a composição atual da carteira e o objetivo do prospect, sem pressionar por valores exatos caso a pessoa prefira não informar.</w:t>
      </w:r>
    </w:p>
    <w:p>
      <w:pPr>
        <w:spacing w:before="80" w:after="160"/>
        <w:ind w:left="454"/>
        <w:pBdr>
          <w:left w:val="single" w:sz="18" w:space="8" w:color="2b7e7e"/>
        </w:pBdr>
      </w:pPr>
      <w:r>
        <w:rPr>
          <w:i/>
          <w:color w:val="003B49"/>
        </w:rPr>
        <w:t>"Me conta um pouco: hoje sua carteira está mais concentrada em quê — renda fixa, fundos, ações, imóveis? Não precisa me dar valores exatos, só uma ideia da proporção."</w:t>
      </w:r>
    </w:p>
    <w:p>
      <w:pPr>
        <w:spacing w:before="80" w:after="160"/>
        <w:ind w:left="454"/>
        <w:pBdr>
          <w:left w:val="single" w:sz="18" w:space="8" w:color="2b7e7e"/>
        </w:pBdr>
      </w:pPr>
      <w:r>
        <w:rPr>
          <w:i/>
          <w:color w:val="003B49"/>
        </w:rPr>
        <w:t>"E qual é o principal objetivo por trás desses investimentos hoje — é aposentadoria, é fazer o dinheiro render mais, é ter mais segurança, é organizar algo para a família?"</w:t>
      </w:r>
    </w:p>
    <w:p>
      <w:r>
        <w:rPr>
          <w:b/>
          <w:color w:val="2B7E7E"/>
        </w:rPr>
        <w:t xml:space="preserve">Por que importa: </w:t>
      </w:r>
      <w:r>
        <w:rPr>
          <w:i/>
          <w:color w:val="5C7278"/>
        </w:rPr>
        <w:t>perguntas abertas fazem o prospect revelar a própria carteira e o próprio objetivo com as palavras dele — isso já começa a gerar o efeito de "estar sendo ouvido" e dá a matéria-prima real para a leitura na etapa seguinte. Não pedir valores exatos remove uma barreira de constrangimento que poderia travar a conversa logo no início.</w:t>
      </w:r>
    </w:p>
    <w:p>
      <w:pPr>
        <w:pStyle w:val="Heading2"/>
      </w:pPr>
      <w:r>
        <w:rPr>
          <w:color w:val="2B7E7E"/>
          <w:sz w:val="26"/>
        </w:rPr>
        <w:t>4.3 Leitura da Carteira (8–18 min)</w:t>
      </w:r>
    </w:p>
    <w:p>
      <w:r>
        <w:t>Conduzir por perguntas que revelam o problema (o próprio prospect chega à conclusão), não por afirmações que resolvem o problema (o assessor entrega a resposta pronta). Os pontos de atenção são comunicados na camada de categoria/risco, nunca na camada de instrumento.</w:t>
      </w:r>
    </w:p>
    <w:p>
      <w:pPr>
        <w:spacing w:before="80" w:after="160"/>
        <w:ind w:left="454"/>
        <w:pBdr>
          <w:left w:val="single" w:sz="18" w:space="8" w:color="2b7e7e"/>
        </w:pBdr>
      </w:pPr>
      <w:r>
        <w:rPr>
          <w:i/>
          <w:color w:val="003B49"/>
        </w:rPr>
        <w:t>"Pelo que você me contou, boa parte está concentrada em [categoria X]. Você já parou pra pensar no que acontece com essa parte da carteira se [cenário de risco]?"</w:t>
      </w:r>
    </w:p>
    <w:p>
      <w:pPr>
        <w:spacing w:before="80" w:after="160"/>
        <w:ind w:left="454"/>
        <w:pBdr>
          <w:left w:val="single" w:sz="18" w:space="8" w:color="2b7e7e"/>
        </w:pBdr>
      </w:pPr>
      <w:r>
        <w:rPr>
          <w:i/>
          <w:color w:val="003B49"/>
        </w:rPr>
        <w:t>"Isso que você descreveu tem cara de uma alocação pensada em um momento em que os juros estavam diferentes de hoje — faz sentido pra você que isso possa estar desatualizado?"</w:t>
      </w:r>
    </w:p>
    <w:p>
      <w:r/>
      <w:r>
        <w:rPr>
          <w:b/>
        </w:rPr>
        <w:t>Frase de segurança</w:t>
      </w:r>
      <w:r>
        <w:t xml:space="preserve"> (para quando a tentação de nomear um produto específico aparecer):</w:t>
      </w:r>
    </w:p>
    <w:p>
      <w:pPr>
        <w:spacing w:before="80" w:after="160"/>
        <w:ind w:left="454"/>
        <w:pBdr>
          <w:left w:val="single" w:sz="18" w:space="8" w:color="2b7e7e"/>
        </w:pBdr>
      </w:pPr>
      <w:r>
        <w:rPr>
          <w:i/>
          <w:color w:val="003B49"/>
        </w:rPr>
        <w:t>"Consigo te mostrar exatamente onde está o problema — o nome do instrumento certo pra resolver isso é a parte que a gente desenha juntos quando formalizarmos o processo, porque aí sim eu faço isso de forma adequada ao seu perfil todo, não só a essa conversa de 20 minutos."</w:t>
      </w:r>
    </w:p>
    <w:p>
      <w:r>
        <w:rPr>
          <w:b/>
          <w:color w:val="2B7E7E"/>
        </w:rPr>
        <w:t xml:space="preserve">Por que importa: </w:t>
      </w:r>
      <w:r>
        <w:rPr>
          <w:i/>
          <w:color w:val="5C7278"/>
        </w:rPr>
        <w:t>conduzir por perguntas em vez de afirmações faz o prospect "descobrir" o próprio problema — o que gera muito mais convicção do que ouvir um diagnóstico entregue de fora. Manter a comunicação na camada de categoria/risco é o que sustenta, na prática, o princípio da Seção 2. A frase de segurança existe para ser usada no calor da conversa, quando a vontade de "ajudar de verdade" empurra para nomear o produto — ela permite recuar sem soar evasivo.</w:t>
      </w:r>
    </w:p>
    <w:p>
      <w:pPr>
        <w:pStyle w:val="Heading2"/>
      </w:pPr>
      <w:r>
        <w:rPr>
          <w:color w:val="2B7E7E"/>
          <w:sz w:val="26"/>
        </w:rPr>
        <w:t>4.4 Fechamento (18–25 min)</w:t>
      </w:r>
    </w:p>
    <w:p>
      <w:r>
        <w:t>Recapitular os pontos identificados e convidar para o próximo passo através de uma pergunta, nunca de uma afirmação.</w:t>
      </w:r>
    </w:p>
    <w:p>
      <w:pPr>
        <w:spacing w:before="80" w:after="160"/>
        <w:ind w:left="454"/>
        <w:pBdr>
          <w:left w:val="single" w:sz="18" w:space="8" w:color="2b7e7e"/>
        </w:pBdr>
      </w:pPr>
      <w:r>
        <w:rPr>
          <w:i/>
          <w:color w:val="003B49"/>
        </w:rPr>
        <w:t>"Então, recapitulando o que a gente viu hoje: [ponto de atenção 1], [ponto de atenção 2] e [ponto de atenção 3]. Isso bate com o que você já sentia ou trouxe coisa nova?"</w:t>
      </w:r>
    </w:p>
    <w:p>
      <w:pPr>
        <w:spacing w:before="80" w:after="160"/>
        <w:ind w:left="454"/>
        <w:pBdr>
          <w:left w:val="single" w:sz="18" w:space="8" w:color="2b7e7e"/>
        </w:pBdr>
      </w:pPr>
      <w:r>
        <w:rPr>
          <w:i/>
          <w:color w:val="003B49"/>
        </w:rPr>
        <w:t>"Faz sentido pra você a gente formalizar o processo e eu montar com calma um plano específico pra esses pontos?"</w:t>
      </w:r>
    </w:p>
    <w:p>
      <w:r/>
      <w:r>
        <w:rPr>
          <w:b/>
        </w:rPr>
        <w:t>Resposta para "não" ou "deixa eu pensar":</w:t>
      </w:r>
      <w:r/>
    </w:p>
    <w:p>
      <w:pPr>
        <w:spacing w:before="80" w:after="160"/>
        <w:ind w:left="454"/>
        <w:pBdr>
          <w:left w:val="single" w:sz="18" w:space="8" w:color="2b7e7e"/>
        </w:pBdr>
      </w:pPr>
      <w:r>
        <w:rPr>
          <w:i/>
          <w:color w:val="003B49"/>
        </w:rPr>
        <w:t>"Sem problema nenhum. O que a gente viu hoje já é seu, pode levar em consideração do jeito que fizer sentido. Se quiser aprofundar em algum momento, é só me chamar — fico à disposição."</w:t>
      </w:r>
    </w:p>
    <w:p>
      <w:r>
        <w:rPr>
          <w:b/>
          <w:color w:val="2B7E7E"/>
        </w:rPr>
        <w:t xml:space="preserve">Por que importa: </w:t>
      </w:r>
      <w:r>
        <w:rPr>
          <w:i/>
          <w:color w:val="5C7278"/>
        </w:rPr>
        <w:t>recapitular reforça o valor entregue antes de fazer o convite, e formular o convite como pergunta (em vez de afirmação do tipo "o próximo passo é...") deixa a decisão explicitamente nas mãos do prospect, o que reduz a sensação de pressão de venda. A resposta para o "não" mantém a porta aberta sem soar carente — reforça que o valor já foi entregue independentemente da decisão, o que é coerente com o próprio princípio de a Análise de Carteira ser diagnóstico real, não isca.</w:t>
      </w:r>
    </w:p>
    <w:p>
      <w:pPr>
        <w:pStyle w:val="Heading1"/>
      </w:pPr>
      <w:r>
        <w:rPr>
          <w:color w:val="003B49"/>
          <w:sz w:val="32"/>
        </w:rPr>
        <w:t>5. O Momento de Tensão — Quando Pedirem a Resposta Pronta</w:t>
      </w:r>
    </w:p>
    <w:p>
      <w:r>
        <w:t>Este é o ponto mais delicado da conversa e por isso merece um roteiro próprio.</w:t>
      </w:r>
    </w:p>
    <w:p>
      <w:r/>
      <w:r>
        <w:rPr>
          <w:b/>
        </w:rPr>
        <w:t>Prospect pergunta:</w:t>
      </w:r>
      <w:r/>
    </w:p>
    <w:p>
      <w:pPr>
        <w:spacing w:before="80" w:after="160"/>
        <w:ind w:left="454"/>
        <w:pBdr>
          <w:left w:val="single" w:sz="18" w:space="8" w:color="2b7e7e"/>
        </w:pBdr>
      </w:pPr>
      <w:r>
        <w:rPr>
          <w:i/>
          <w:color w:val="003B49"/>
        </w:rPr>
        <w:t>"Tá, entendi o problema. Mas então o que eu deveria comprar?"</w:t>
      </w:r>
    </w:p>
    <w:p>
      <w:r/>
      <w:r>
        <w:rPr>
          <w:b/>
        </w:rPr>
        <w:t>Resposta modelo:</w:t>
      </w:r>
      <w:r/>
    </w:p>
    <w:p>
      <w:pPr>
        <w:spacing w:before="80" w:after="160"/>
        <w:ind w:left="454"/>
        <w:pBdr>
          <w:left w:val="single" w:sz="18" w:space="8" w:color="2b7e7e"/>
        </w:pBdr>
      </w:pPr>
      <w:r>
        <w:rPr>
          <w:i/>
          <w:color w:val="003B49"/>
        </w:rPr>
        <w:t>"Essa é exatamente a pergunta certa — e é também a razão pela qual eu não te respondo ela agora, de graça. Te dar um nome de produto sem antes passar pelo processo formal de adequação ao seu perfil seria antiprofissional da minha parte e arriscado pros dois lados — pra você, porque a recomendação não estaria olhando pro seu perfil completo; pra mim, porque eu estaria recomendando algo sem ter feito esse processo direito. O que eu posso fazer é formalizar isso com você agora e montar essa resposta com o cuidado que ela merece."</w:t>
      </w:r>
    </w:p>
    <w:p>
      <w:r>
        <w:rPr>
          <w:b/>
          <w:color w:val="2B7E7E"/>
        </w:rPr>
        <w:t xml:space="preserve">Por que essa resposta aumenta a percepção de valor, em vez de soar como sonegação: </w:t>
      </w:r>
      <w:r>
        <w:rPr>
          <w:i/>
          <w:color w:val="5C7278"/>
        </w:rPr>
        <w:t>o prospect nesse momento está testando se o assessor entrega ou segura informação por interesse próprio. Justificar o limite com um motivo de responsabilidade profissional (processo de adequação, risco pra ambos os lados) reposiciona o "não" como sinal de rigor e cuidado, não de estar guardando a resposta. Isso costuma aumentar a confiança na competência do assessor, exatamente no momento em que ela estava sendo testada.</w:t>
      </w:r>
    </w:p>
    <w:p>
      <w:pPr>
        <w:pStyle w:val="Heading1"/>
      </w:pPr>
      <w:r>
        <w:rPr>
          <w:color w:val="003B49"/>
          <w:sz w:val="32"/>
        </w:rPr>
        <w:t>6. Checklist Pré e Pós-Call</w:t>
      </w:r>
    </w:p>
    <w:p>
      <w:pPr>
        <w:pStyle w:val="Heading2"/>
      </w:pPr>
      <w:r>
        <w:rPr>
          <w:color w:val="2B7E7E"/>
          <w:sz w:val="26"/>
        </w:rPr>
        <w:t>Pré-call</w:t>
      </w:r>
    </w:p>
    <w:p>
      <w:r>
        <w:t>☐  Revisar os dados do simulador do prospect antes de entrar na call</w:t>
      </w:r>
    </w:p>
    <w:p>
      <w:r>
        <w:t>☐  Nome</w:t>
      </w:r>
    </w:p>
    <w:p>
      <w:r>
        <w:t>☐  Score</w:t>
      </w:r>
    </w:p>
    <w:p>
      <w:r>
        <w:t>☐  Faixa de patrimônio</w:t>
      </w:r>
    </w:p>
    <w:p>
      <w:r>
        <w:t>☐  Objetivo declarado</w:t>
      </w:r>
    </w:p>
    <w:p>
      <w:pPr>
        <w:pStyle w:val="Heading2"/>
      </w:pPr>
      <w:r>
        <w:rPr>
          <w:color w:val="2B7E7E"/>
          <w:sz w:val="26"/>
        </w:rPr>
        <w:t>Pós-call</w:t>
      </w:r>
    </w:p>
    <w:p>
      <w:r>
        <w:t>☐  Registrar o resultado na planilha de leads</w:t>
      </w:r>
    </w:p>
    <w:p>
      <w:r>
        <w:t>☐  Atualizar o status do lead</w:t>
      </w:r>
    </w:p>
    <w:p>
      <w:r>
        <w:t>☐  Anotar os pontos de atenção identificados na call (para follow-up futuro)</w:t>
      </w:r>
    </w:p>
    <w:p>
      <w:pPr>
        <w:pStyle w:val="Heading1"/>
      </w:pPr>
      <w:r>
        <w:rPr>
          <w:color w:val="003B49"/>
          <w:sz w:val="32"/>
        </w:rPr>
        <w:t>7. Regras Gerais / O Que Nunca Fazer</w:t>
      </w:r>
    </w:p>
    <w:p>
      <w:pPr>
        <w:pStyle w:val="ListBullet"/>
      </w:pPr>
      <w:r>
        <w:t>Nunca produzir documento, PDF ou planilha com números e nomes de ativos específicos que o prospect leve embora.</w:t>
      </w:r>
    </w:p>
    <w:p>
      <w:pPr>
        <w:pStyle w:val="ListBullet"/>
      </w:pPr>
      <w:r>
        <w:t>Nunca ultrapassar a duração combinada (20–30 minutos).</w:t>
      </w:r>
    </w:p>
    <w:p>
      <w:pPr>
        <w:pStyle w:val="ListBullet"/>
      </w:pPr>
      <w:r>
        <w:t>Nunca fazer a oferta gratuita para tráfego frio sem qualificação prévia.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