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一．用例图</w:t>
      </w:r>
      <w:bookmarkStart w:id="0" w:name="_GoBack"/>
      <w:bookmarkEnd w:id="0"/>
    </w:p>
    <w:p>
      <w:r>
        <w:drawing>
          <wp:inline distT="0" distB="0" distL="0" distR="0">
            <wp:extent cx="5274310" cy="528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二．用例说明</w:t>
      </w:r>
    </w:p>
    <w:tbl>
      <w:tblPr>
        <w:tblStyle w:val="5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310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用例名称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新建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Repositories(仓库)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功能实现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用例编号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UML01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参与者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U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ser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用例描述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该用例描述一个用户新建库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触发器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当仓库被新建时,用例触发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前置条件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新仓库用户完成登录且点击新建仓库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后置条件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仓库命名完成且关键信息填写完成,系统提示完成新建;否则提示新建仓库失败,返回异常位置,重新操作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基本事件流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User登录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ser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点击创建仓库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User填入仓库信息；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User提交新建仓库请求；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系统验证新建仓库信息合法性后做出响应；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系统对仓库有无关键信息做出检验；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系统检验完成，提示用户新建仓库完成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扩展事件流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5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如果仓库信息不合法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，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系统提示仓库信息不合法并返回重新操作</w:t>
            </w:r>
          </w:p>
          <w:p>
            <w:pP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6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如果仓库缺少部分或全部关键信息，系统提示仓库关键信息未填完整并返回重新操作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结论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当User收到系统发送的任务运行成功或者其他异常信息时，用例结束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数据需求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3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仓库信息包括仓库名、仓库说明、仓库地址和仓库关键信息等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业务规则</w:t>
            </w:r>
          </w:p>
        </w:tc>
        <w:tc>
          <w:tcPr>
            <w:tcW w:w="6310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B-1只有当仓库新建完成后才可以执行后面操作</w:t>
            </w:r>
          </w:p>
        </w:tc>
      </w:tr>
    </w:tbl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ind w:firstLine="400" w:firstLineChars="2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ind w:firstLine="400" w:firstLineChars="2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ind w:firstLine="400" w:firstLineChars="2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ind w:firstLine="400" w:firstLineChars="200"/>
        <w:rPr>
          <w:rFonts w:hint="eastAsia" w:ascii="Arial" w:hAnsi="Arial" w:cs="Arial"/>
          <w:color w:val="333333"/>
          <w:kern w:val="0"/>
          <w:sz w:val="20"/>
          <w:shd w:val="clear" w:color="auto" w:fill="FFFFFF"/>
        </w:rPr>
      </w:pPr>
    </w:p>
    <w:tbl>
      <w:tblPr>
        <w:tblStyle w:val="5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6477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文件管理功能实现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2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该用例描述User上传文件、搜索文件、下载文件和删除文件功能。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当点击文件管理时触发。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必须登录成功。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操作文件完成，系统提示操作完成并返回操作内容；否则提示操作文件失败，返回异常重新操作。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在主页面，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要操作的仓库；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User点击文件操作管理，进入文件界面；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上传文件或搜索文件或下载文件或删除文件；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User选择要上传的文件或搜索的文件或下载的文件或删除的文件；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User点击确认，提交信息至系统；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系统验证User提交信息合法性后做出响应；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系统对该文件进行上传或搜索或下载或删除；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系统完成文件操作，返回操作成功。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6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如果系统验证信息不合法，返回异常重新操作；</w:t>
            </w:r>
          </w:p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-7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如果上传文件不存在，系统提示上传文件不存在并终止用例；如果上传文件出现重名时，系统提示仓库中有相同名称文件并返回重新命名；如果搜索文件不存在，系统提示文件不存在并终止用例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当User收到系统发送的任务运行成功或者其他异常信息时，用例结束。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4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上传文件信息包括文件名、文件地址、具体文件内容；下载和删除文件信息包括文件名和文件地址；搜索文件信息包括文件名。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B-1只有当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进入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文件界面完成后才可以执行后面操作。</w:t>
            </w:r>
          </w:p>
        </w:tc>
      </w:tr>
    </w:tbl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tbl>
      <w:tblPr>
        <w:tblStyle w:val="5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6477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文章管理功能实现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3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该用例描述User想要发表文章、搜索文章和删除文章功能。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当点击文章管理时触发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必须登录成功。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操作文章完成，系统提示操作完成并返回操作内容；否则提示操作文件失败，返回异常重新操作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在主页面，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要操作的仓库；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User点击文章操作管理，进入文章界面；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发表文章或搜索文章或删除文章；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User输入要发表的文章或搜索的文章或点击删除的文章；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User点击确认，提交信息至系统；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系统验证User提交信息合法性后做出响应；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系统对该文章进行发表或搜索或删除；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系统完成文章操作，返回操作成功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6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如果系统验证信息不合法，返回异常重新操作；</w:t>
            </w:r>
          </w:p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-7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如果发表文章无标题，系统提示输入文章标题；如果发表文章出现重名时，系统提示仓库中有相同名称文章并返回重新命名；如果搜索文章不存在，系统提示文章不存在并终止用例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当User收到系统发送的任务运行成功或者其他异常信息时，用例结束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4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发表和删除文章信息包括标题、具体文章内容，搜索文章信息包括文章标题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B-1只有当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进入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文章界面完成后才可以执行后面操作</w:t>
            </w:r>
          </w:p>
        </w:tc>
      </w:tr>
    </w:tbl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kern w:val="0"/>
          <w:sz w:val="20"/>
          <w:shd w:val="clear" w:color="auto" w:fill="FFFFFF"/>
        </w:rPr>
      </w:pPr>
    </w:p>
    <w:tbl>
      <w:tblPr>
        <w:tblStyle w:val="5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6477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设置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Repositories(仓库)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功能实现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4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该用例描述User重命名仓库和删除仓库功能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当点击设置时触发。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必须登录成功。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设置完成，系统提示设置成功；否则提示设置失败，返回异常设置位置并重新操作。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在主页面，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要操作的仓库；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User点击设置，进入设置界面；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点击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重命名仓库或删除仓库；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User输入要重新命名的仓库或点击删除的仓库；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User点击确认，提交信息至系统；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系统验证User提交信息合法性后做出响应；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系统对该仓库进行重命名或删除；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系统完成仓库的操作，返回操作成功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6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如果系统验证信息不合法，返回异常重新操作；</w:t>
            </w:r>
          </w:p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-7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如果待重命名的仓库与已有仓库重名时，系统有相同仓库名并返回重新命名；如果待重命名仓库与原仓库名称相同时，系统提示未对仓库进行改名并返回重新命名；如果未输入仓库名时，系统提示未输入新的名称并返回重新命名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当User收到系统发送的任务运行成功或者其他异常信息时，用例结束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 xml:space="preserve">4 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重命名和删除库的信息包括库的名称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right w:val="single" w:color="auto" w:sz="6" w:space="0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color="auto" w:sz="6" w:space="0"/>
              <w:tl2br w:val="nil"/>
              <w:tr2bl w:val="nil"/>
            </w:tcBorders>
          </w:tcPr>
          <w:p>
            <w:pP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B-1只有当</w:t>
            </w:r>
            <w:r>
              <w:rPr>
                <w:rFonts w:ascii="Arial" w:hAnsi="Arial" w:cs="Arial"/>
                <w:color w:val="333333"/>
                <w:kern w:val="0"/>
                <w:sz w:val="20"/>
                <w:shd w:val="clear" w:color="auto" w:fill="FFFFFF"/>
              </w:rPr>
              <w:t>进入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hd w:val="clear" w:color="auto" w:fill="FFFFFF"/>
              </w:rPr>
              <w:t>设置界面完成后才可以执行后面操作</w:t>
            </w:r>
          </w:p>
        </w:tc>
      </w:tr>
    </w:tbl>
    <w:p>
      <w:pPr>
        <w:rPr>
          <w:rFonts w:hint="eastAsia" w:ascii="Arial" w:hAnsi="Arial" w:cs="Arial"/>
          <w:color w:val="333333"/>
          <w:kern w:val="0"/>
          <w:sz w:val="2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6993C"/>
    <w:multiLevelType w:val="singleLevel"/>
    <w:tmpl w:val="D7469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F55FC2"/>
    <w:multiLevelType w:val="multilevel"/>
    <w:tmpl w:val="16F55F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CE7215"/>
    <w:multiLevelType w:val="multilevel"/>
    <w:tmpl w:val="40CE72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82C71"/>
    <w:multiLevelType w:val="multilevel"/>
    <w:tmpl w:val="58382C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7B"/>
    <w:rsid w:val="000301F2"/>
    <w:rsid w:val="00073064"/>
    <w:rsid w:val="0009514D"/>
    <w:rsid w:val="000F5CCE"/>
    <w:rsid w:val="001078D8"/>
    <w:rsid w:val="00114CF6"/>
    <w:rsid w:val="001C767B"/>
    <w:rsid w:val="002D0C53"/>
    <w:rsid w:val="00302054"/>
    <w:rsid w:val="00313A46"/>
    <w:rsid w:val="0041601C"/>
    <w:rsid w:val="00591DCD"/>
    <w:rsid w:val="005A000C"/>
    <w:rsid w:val="006811CD"/>
    <w:rsid w:val="00760A73"/>
    <w:rsid w:val="007C2B9F"/>
    <w:rsid w:val="007C702A"/>
    <w:rsid w:val="007E70B6"/>
    <w:rsid w:val="00806317"/>
    <w:rsid w:val="00847469"/>
    <w:rsid w:val="00853B4E"/>
    <w:rsid w:val="008B01BA"/>
    <w:rsid w:val="008B7769"/>
    <w:rsid w:val="008C72C6"/>
    <w:rsid w:val="008E31E4"/>
    <w:rsid w:val="00914C54"/>
    <w:rsid w:val="009162E7"/>
    <w:rsid w:val="00992003"/>
    <w:rsid w:val="009D6DD3"/>
    <w:rsid w:val="00A0647A"/>
    <w:rsid w:val="00A60D37"/>
    <w:rsid w:val="00A83C9B"/>
    <w:rsid w:val="00B7319B"/>
    <w:rsid w:val="00C4492B"/>
    <w:rsid w:val="00C509B9"/>
    <w:rsid w:val="00DD2698"/>
    <w:rsid w:val="00E51417"/>
    <w:rsid w:val="00F401B8"/>
    <w:rsid w:val="00F532ED"/>
    <w:rsid w:val="00F76749"/>
    <w:rsid w:val="355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1886</Characters>
  <Lines>15</Lines>
  <Paragraphs>4</Paragraphs>
  <TotalTime>166</TotalTime>
  <ScaleCrop>false</ScaleCrop>
  <LinksUpToDate>false</LinksUpToDate>
  <CharactersWithSpaces>2212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2021-11-22T10:51:00Z</dcterms:created>
  <dc:creator>俊杰 马</dc:creator>
  <cp:lastModifiedBy>WPS_1631789615</cp:lastModifiedBy>
  <dcterms:modified xsi:type="dcterms:W3CDTF">2021-11-23T09:57:44Z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D23A89ECE3AF41BCA522ABBCA2EBB2EC</vt:lpwstr>
  </property>
</Properties>
</file>