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13" w:rsidRDefault="009F6B13" w:rsidP="009F6B13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Tables</w:t>
      </w:r>
    </w:p>
    <w:tbl>
      <w:tblPr>
        <w:tblW w:w="1018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728"/>
        <w:gridCol w:w="1530"/>
        <w:gridCol w:w="1800"/>
        <w:gridCol w:w="1530"/>
        <w:gridCol w:w="1800"/>
        <w:gridCol w:w="1800"/>
      </w:tblGrid>
      <w:tr w:rsidR="009F6B13" w:rsidRPr="004904CB" w:rsidTr="00C06F6D">
        <w:tc>
          <w:tcPr>
            <w:tcW w:w="10188" w:type="dxa"/>
            <w:gridSpan w:val="6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1.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sz w:val="20"/>
                <w:szCs w:val="24"/>
              </w:rPr>
              <w:t>Admissions for Medically-Refractory Epilepsy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, and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Lobectomies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Caseload: 1990-1994 versus 2004-2008</w:t>
            </w:r>
          </w:p>
        </w:tc>
      </w:tr>
      <w:tr w:rsidR="009F6B13" w:rsidRPr="004904CB" w:rsidTr="00C06F6D">
        <w:tc>
          <w:tcPr>
            <w:tcW w:w="1728" w:type="dxa"/>
            <w:tcBorders>
              <w:bottom w:val="nil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460" w:type="dxa"/>
            <w:gridSpan w:val="5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1990 to 1994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3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Hospitals Admitting for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Medically-Refractory Epilepsy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,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 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80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Hospitalizations for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Medically-Refractory Epilepsy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, n (%)</w:t>
            </w:r>
          </w:p>
        </w:tc>
        <w:tc>
          <w:tcPr>
            <w:tcW w:w="153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proofErr w:type="spellStart"/>
            <w:r>
              <w:rPr>
                <w:rFonts w:ascii="Arial" w:hAnsi="Arial" w:cs="Calibri"/>
                <w:b/>
                <w:color w:val="000000"/>
                <w:sz w:val="20"/>
              </w:rPr>
              <w:t>Lobectomies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Per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formed,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80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Percent of Hospitalizations Including </w:t>
            </w:r>
            <w:proofErr w:type="spellStart"/>
            <w:r>
              <w:rPr>
                <w:rFonts w:ascii="Arial" w:hAnsi="Arial" w:cs="Calibri"/>
                <w:b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800" w:type="dxa"/>
            <w:vAlign w:val="bottom"/>
          </w:tcPr>
          <w:p w:rsidR="009F6B13" w:rsidRPr="004904CB" w:rsidRDefault="006E3CDA" w:rsidP="009F6B13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Relative Risk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          </w:t>
            </w:r>
            <w:r w:rsidR="009F6B13" w:rsidRPr="004904CB">
              <w:rPr>
                <w:rFonts w:ascii="Arial" w:hAnsi="Arial" w:cs="Calibri"/>
                <w:b/>
                <w:color w:val="000000"/>
                <w:sz w:val="20"/>
              </w:rPr>
              <w:t>(95% CI)</w:t>
            </w:r>
            <w:r w:rsidR="009F6B13" w:rsidRPr="004904CB">
              <w:rPr>
                <w:rFonts w:ascii="Arial" w:hAnsi="Arial" w:cs="Calibri"/>
                <w:b/>
                <w:color w:val="000000"/>
                <w:sz w:val="20"/>
                <w:vertAlign w:val="superscript"/>
              </w:rPr>
              <w:t>b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Top 20 Hospitals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20 (1.1)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6,450 (30.6)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614 (42.5)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9.5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Other Hospitals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140 (7.6)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6,704 (31.8)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831 (57.5)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9.4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Not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1,685 (91.3)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7,936 (37.6)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 (0)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ind w:left="720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--</w:t>
            </w:r>
          </w:p>
        </w:tc>
      </w:tr>
      <w:tr w:rsidR="009F6B13" w:rsidRPr="004904CB" w:rsidTr="00C06F6D">
        <w:tc>
          <w:tcPr>
            <w:tcW w:w="1728" w:type="dxa"/>
            <w:tcBorders>
              <w:bottom w:val="single" w:sz="18" w:space="0" w:color="auto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1,845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21,090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1,446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6.9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728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30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460" w:type="dxa"/>
            <w:gridSpan w:val="5"/>
            <w:tcBorders>
              <w:top w:val="nil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2004 to 2008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center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3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Hospitals Admitting for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Medically-Refractory Epilepsy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,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 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80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Hospitalizations for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Medically-Refractory Epilepsy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, n (%)</w:t>
            </w:r>
          </w:p>
        </w:tc>
        <w:tc>
          <w:tcPr>
            <w:tcW w:w="153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proofErr w:type="spellStart"/>
            <w:r>
              <w:rPr>
                <w:rFonts w:ascii="Arial" w:hAnsi="Arial" w:cs="Calibri"/>
                <w:b/>
                <w:color w:val="000000"/>
                <w:sz w:val="20"/>
              </w:rPr>
              <w:t>Lobectomies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Per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formed, 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</w:t>
            </w: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800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Percent of Hospitalizations Including </w:t>
            </w:r>
            <w:proofErr w:type="spellStart"/>
            <w:r>
              <w:rPr>
                <w:rFonts w:ascii="Arial" w:hAnsi="Arial" w:cs="Calibri"/>
                <w:b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800" w:type="dxa"/>
            <w:vAlign w:val="bottom"/>
          </w:tcPr>
          <w:p w:rsidR="009F6B13" w:rsidRPr="004904CB" w:rsidRDefault="006E3CDA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Relative Risk</w:t>
            </w:r>
            <w:r w:rsidR="009F6B13" w:rsidRPr="004904CB">
              <w:rPr>
                <w:rFonts w:ascii="Arial" w:hAnsi="Arial" w:cs="Calibri"/>
                <w:b/>
                <w:color w:val="000000"/>
                <w:sz w:val="20"/>
              </w:rPr>
              <w:t xml:space="preserve">          (95% CI)</w:t>
            </w:r>
            <w:r w:rsidR="009F6B13" w:rsidRPr="004904CB">
              <w:rPr>
                <w:rFonts w:ascii="Arial" w:hAnsi="Arial" w:cs="Calibri"/>
                <w:b/>
                <w:color w:val="000000"/>
                <w:sz w:val="20"/>
                <w:vertAlign w:val="superscript"/>
              </w:rPr>
              <w:t>b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Top 20 Hospitals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20 (0.9)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4,406 (11.0)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423 (24.8)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9.6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9F6B13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1.01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(0</w:t>
            </w:r>
            <w:r>
              <w:rPr>
                <w:rFonts w:ascii="Arial" w:hAnsi="Arial" w:cs="Calibri"/>
                <w:color w:val="000000"/>
                <w:sz w:val="20"/>
              </w:rPr>
              <w:t>.90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-1.</w:t>
            </w:r>
            <w:r>
              <w:rPr>
                <w:rFonts w:ascii="Arial" w:hAnsi="Arial" w:cs="Calibri"/>
                <w:color w:val="000000"/>
                <w:sz w:val="20"/>
              </w:rPr>
              <w:t>13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  <w:bottom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Other Hospitals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350 (15.6)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27,285 (67.9)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1,286 (75.2)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4.5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9F6B13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0.38 (0.35-0.4</w:t>
            </w:r>
            <w:r>
              <w:rPr>
                <w:rFonts w:ascii="Arial" w:hAnsi="Arial" w:cs="Calibri"/>
                <w:color w:val="000000"/>
                <w:sz w:val="20"/>
              </w:rPr>
              <w:t>1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  <w:r w:rsidRPr="004904CB">
              <w:rPr>
                <w:rFonts w:ascii="Arial" w:hAnsi="Arial" w:cs="Calibri"/>
                <w:color w:val="000000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728" w:type="dxa"/>
            <w:tcBorders>
              <w:top w:val="nil"/>
            </w:tcBorders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Not Performing </w:t>
            </w:r>
            <w:proofErr w:type="spellStart"/>
            <w:r>
              <w:rPr>
                <w:rFonts w:ascii="Arial" w:hAnsi="Arial" w:cs="Calibri"/>
                <w:color w:val="000000"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1,880 (83.6)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8,520 (21.2)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 (0)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--</w:t>
            </w:r>
          </w:p>
        </w:tc>
      </w:tr>
      <w:tr w:rsidR="009F6B13" w:rsidRPr="004904CB" w:rsidTr="00C06F6D">
        <w:tc>
          <w:tcPr>
            <w:tcW w:w="1728" w:type="dxa"/>
            <w:vAlign w:val="bottom"/>
          </w:tcPr>
          <w:p w:rsidR="009F6B13" w:rsidRPr="004904CB" w:rsidRDefault="009F6B13" w:rsidP="00C06F6D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2,250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40,210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53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1,709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C06F6D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4.3</w:t>
            </w:r>
          </w:p>
        </w:tc>
        <w:tc>
          <w:tcPr>
            <w:tcW w:w="1800" w:type="dxa"/>
            <w:vAlign w:val="center"/>
          </w:tcPr>
          <w:p w:rsidR="009F6B13" w:rsidRPr="004904CB" w:rsidRDefault="009F6B13" w:rsidP="009F6B13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 w:rsidRPr="004904CB">
              <w:rPr>
                <w:rFonts w:ascii="Arial" w:hAnsi="Arial" w:cs="Calibri"/>
                <w:color w:val="000000"/>
                <w:sz w:val="20"/>
              </w:rPr>
              <w:t>0.62 (0.58-0.6</w:t>
            </w:r>
            <w:r>
              <w:rPr>
                <w:rFonts w:ascii="Arial" w:hAnsi="Arial" w:cs="Calibri"/>
                <w:color w:val="000000"/>
                <w:sz w:val="20"/>
              </w:rPr>
              <w:t>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  <w:r w:rsidRPr="004904CB">
              <w:rPr>
                <w:rFonts w:ascii="Arial" w:hAnsi="Arial" w:cs="Calibri"/>
                <w:color w:val="000000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0188" w:type="dxa"/>
            <w:gridSpan w:val="6"/>
          </w:tcPr>
          <w:p w:rsidR="009F6B13" w:rsidRPr="004904CB" w:rsidRDefault="009F6B13" w:rsidP="00C06F6D">
            <w:pPr>
              <w:spacing w:after="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Abbreviations: CI, confidence interval</w:t>
            </w:r>
            <w:r w:rsidRPr="004904CB">
              <w:rPr>
                <w:rFonts w:ascii="Arial" w:eastAsia="Cambria" w:hAnsi="Arial"/>
                <w:sz w:val="20"/>
              </w:rPr>
              <w:t>.</w:t>
            </w:r>
          </w:p>
          <w:p w:rsidR="009F6B13" w:rsidRPr="004904CB" w:rsidRDefault="009F6B13" w:rsidP="00C06F6D">
            <w:pPr>
              <w:spacing w:after="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hAnsi="Arial" w:cs="Calibri"/>
                <w:color w:val="000000"/>
                <w:sz w:val="20"/>
                <w:vertAlign w:val="superscript"/>
              </w:rPr>
              <w:t>a</w:t>
            </w:r>
            <w:r w:rsidRPr="004904CB">
              <w:rPr>
                <w:rFonts w:ascii="Arial" w:eastAsia="Cambria" w:hAnsi="Arial"/>
                <w:sz w:val="20"/>
              </w:rPr>
              <w:t>Statistically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significant value (</w:t>
            </w:r>
            <w:r w:rsidRPr="004904CB">
              <w:rPr>
                <w:rFonts w:ascii="Arial" w:eastAsia="Cambria" w:hAnsi="Arial"/>
                <w:i/>
                <w:sz w:val="20"/>
              </w:rPr>
              <w:t>P</w:t>
            </w:r>
            <w:r w:rsidRPr="004904CB">
              <w:rPr>
                <w:rFonts w:ascii="Arial" w:eastAsia="Cambria" w:hAnsi="Arial"/>
                <w:sz w:val="20"/>
              </w:rPr>
              <w:t xml:space="preserve">&lt;.05). </w:t>
            </w:r>
          </w:p>
          <w:p w:rsidR="009F6B13" w:rsidRPr="004904CB" w:rsidRDefault="009F6B13" w:rsidP="00C06F6D">
            <w:pPr>
              <w:spacing w:after="0" w:line="240" w:lineRule="auto"/>
              <w:rPr>
                <w:rFonts w:ascii="Arial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  <w:r w:rsidRPr="004904CB">
              <w:rPr>
                <w:rFonts w:ascii="Arial" w:hAnsi="Arial"/>
                <w:sz w:val="20"/>
              </w:rPr>
              <w:t>Odds</w:t>
            </w:r>
            <w:proofErr w:type="spellEnd"/>
            <w:proofErr w:type="gramEnd"/>
            <w:r w:rsidRPr="004904CB">
              <w:rPr>
                <w:rFonts w:ascii="Arial" w:hAnsi="Arial"/>
                <w:sz w:val="20"/>
              </w:rPr>
              <w:t xml:space="preserve"> ratio comparing likelihood of </w:t>
            </w:r>
            <w:proofErr w:type="spellStart"/>
            <w:r>
              <w:rPr>
                <w:rFonts w:ascii="Arial" w:hAnsi="Arial"/>
                <w:sz w:val="20"/>
              </w:rPr>
              <w:t>lobectomy</w:t>
            </w:r>
            <w:proofErr w:type="spellEnd"/>
            <w:r>
              <w:rPr>
                <w:rFonts w:ascii="Arial" w:hAnsi="Arial"/>
                <w:sz w:val="20"/>
              </w:rPr>
              <w:t xml:space="preserve"> during </w:t>
            </w:r>
            <w:r w:rsidRPr="004904CB">
              <w:rPr>
                <w:rFonts w:ascii="Arial" w:hAnsi="Arial"/>
                <w:sz w:val="20"/>
              </w:rPr>
              <w:t>hospitalization from 1990-1994 versus 2004-2008.</w:t>
            </w:r>
          </w:p>
          <w:p w:rsidR="009F6B13" w:rsidRPr="004904CB" w:rsidRDefault="009F6B13" w:rsidP="00C06F6D">
            <w:pPr>
              <w:spacing w:after="0" w:line="240" w:lineRule="auto"/>
              <w:rPr>
                <w:rFonts w:ascii="Arial" w:hAnsi="Arial"/>
                <w:sz w:val="20"/>
              </w:rPr>
            </w:pPr>
          </w:p>
        </w:tc>
      </w:tr>
    </w:tbl>
    <w:p w:rsidR="009F6B13" w:rsidRPr="0029741E" w:rsidRDefault="009F6B13" w:rsidP="009F6B13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9F6B13" w:rsidRDefault="009F6B13" w:rsidP="009F6B13">
      <w:pPr>
        <w:spacing w:after="0" w:line="480" w:lineRule="auto"/>
      </w:pPr>
      <w:r>
        <w:br w:type="page"/>
      </w:r>
    </w:p>
    <w:tbl>
      <w:tblPr>
        <w:tblW w:w="9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504"/>
        <w:gridCol w:w="406"/>
        <w:gridCol w:w="608"/>
        <w:gridCol w:w="516"/>
        <w:gridCol w:w="698"/>
        <w:gridCol w:w="304"/>
        <w:gridCol w:w="1518"/>
      </w:tblGrid>
      <w:tr w:rsidR="009F6B13" w:rsidRPr="004904CB" w:rsidTr="00C06F6D">
        <w:tc>
          <w:tcPr>
            <w:tcW w:w="9108" w:type="dxa"/>
            <w:gridSpan w:val="11"/>
            <w:tcBorders>
              <w:top w:val="single" w:sz="48" w:space="0" w:color="auto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lastRenderedPageBreak/>
              <w:t xml:space="preserve">Table 2. </w:t>
            </w:r>
            <w:r w:rsidRPr="004904CB">
              <w:rPr>
                <w:rFonts w:ascii="Arial" w:eastAsia="Cambria" w:hAnsi="Arial"/>
                <w:sz w:val="20"/>
              </w:rPr>
              <w:t xml:space="preserve">Patient and 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 </w:t>
            </w:r>
            <w:r>
              <w:rPr>
                <w:rFonts w:ascii="Arial" w:eastAsia="Cambria" w:hAnsi="Arial"/>
                <w:sz w:val="20"/>
              </w:rPr>
              <w:t>Medically-Refractory Epilepsy</w:t>
            </w:r>
            <w:r w:rsidRPr="004904CB">
              <w:rPr>
                <w:rFonts w:ascii="Arial" w:eastAsia="Cambria" w:hAnsi="Arial"/>
                <w:sz w:val="20"/>
              </w:rPr>
              <w:t xml:space="preserve"> with or without </w:t>
            </w:r>
            <w:proofErr w:type="spellStart"/>
            <w:r>
              <w:rPr>
                <w:rFonts w:ascii="Arial" w:eastAsia="Cambria" w:hAnsi="Arial"/>
                <w:sz w:val="20"/>
              </w:rPr>
              <w:t>Lobectomy</w:t>
            </w:r>
            <w:proofErr w:type="spellEnd"/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t xml:space="preserve">Received </w:t>
            </w:r>
            <w:proofErr w:type="spellStart"/>
            <w:r>
              <w:rPr>
                <w:rFonts w:ascii="Arial" w:eastAsia="Cambria" w:hAnsi="Arial"/>
                <w:b/>
                <w:sz w:val="20"/>
              </w:rPr>
              <w:t>Lobectomy</w:t>
            </w:r>
            <w:proofErr w:type="spellEnd"/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Did Not R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eceive </w:t>
            </w:r>
            <w:proofErr w:type="spellStart"/>
            <w:r>
              <w:rPr>
                <w:rFonts w:ascii="Arial" w:eastAsia="Cambria" w:hAnsi="Arial"/>
                <w:b/>
                <w:sz w:val="20"/>
              </w:rPr>
              <w:t>Lobectomy</w:t>
            </w:r>
            <w:proofErr w:type="spellEnd"/>
          </w:p>
        </w:tc>
        <w:tc>
          <w:tcPr>
            <w:tcW w:w="2520" w:type="dxa"/>
            <w:gridSpan w:val="3"/>
          </w:tcPr>
          <w:p w:rsidR="009F6B13" w:rsidRPr="004904CB" w:rsidRDefault="006E3CDA" w:rsidP="00C06F6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Relative Risk</w:t>
            </w:r>
            <w:r w:rsidR="009F6B13" w:rsidRPr="004904CB">
              <w:rPr>
                <w:rFonts w:ascii="Arial" w:eastAsia="Cambria" w:hAnsi="Arial"/>
                <w:b/>
                <w:sz w:val="20"/>
              </w:rPr>
              <w:t xml:space="preserve"> (95% CI), or Student’s </w:t>
            </w:r>
            <w:r w:rsidR="009F6B13" w:rsidRPr="004904CB">
              <w:rPr>
                <w:rFonts w:ascii="Arial" w:eastAsia="Cambria" w:hAnsi="Arial"/>
                <w:b/>
                <w:i/>
                <w:sz w:val="20"/>
              </w:rPr>
              <w:t xml:space="preserve">t </w:t>
            </w:r>
            <w:r w:rsidR="009F6B13" w:rsidRPr="004904CB">
              <w:rPr>
                <w:rFonts w:ascii="Arial" w:eastAsia="Cambria" w:hAnsi="Arial"/>
                <w:b/>
                <w:sz w:val="20"/>
              </w:rPr>
              <w:t>(</w:t>
            </w:r>
            <w:r w:rsidR="009F6B13" w:rsidRPr="004904CB">
              <w:rPr>
                <w:rFonts w:ascii="Arial" w:eastAsia="Cambria" w:hAnsi="Arial"/>
                <w:b/>
                <w:i/>
                <w:sz w:val="20"/>
              </w:rPr>
              <w:t xml:space="preserve">P </w:t>
            </w:r>
            <w:r w:rsidR="009F6B13" w:rsidRPr="004904CB">
              <w:rPr>
                <w:rFonts w:ascii="Arial" w:eastAsia="Cambria" w:hAnsi="Arial"/>
                <w:b/>
                <w:sz w:val="20"/>
              </w:rPr>
              <w:t>value)</w:t>
            </w:r>
          </w:p>
        </w:tc>
      </w:tr>
      <w:tr w:rsidR="009F6B13" w:rsidRPr="004904CB" w:rsidTr="00C06F6D">
        <w:tc>
          <w:tcPr>
            <w:tcW w:w="3708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Age, mean (SD), y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hAnsi="Arial" w:cs="Arial"/>
                <w:sz w:val="20"/>
                <w:szCs w:val="18"/>
              </w:rPr>
              <w:t>30.6 ± 14.3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hAnsi="Arial" w:cs="Arial"/>
                <w:sz w:val="20"/>
                <w:szCs w:val="18"/>
              </w:rPr>
              <w:t>31.9 ± 19.3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2.25 (&lt; 0.001)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3,146 (5.9)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50,371 (94.1)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3,507 (6.0)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55,002 (94.0)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1.02 (0.97-1.07)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3,998 (6.5)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57,517 (93.5)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ab/>
            </w:r>
            <w:r w:rsidRPr="004904CB">
              <w:rPr>
                <w:rFonts w:ascii="Arial" w:eastAsia="Cambria" w:hAnsi="Arial"/>
                <w:sz w:val="20"/>
              </w:rPr>
              <w:tab/>
              <w:t>1 [Reference]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260 (3.3)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7,720 (96.7)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030CA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</w:t>
            </w:r>
            <w:r w:rsidR="00030CA0">
              <w:rPr>
                <w:rFonts w:ascii="Arial" w:eastAsia="Cambria" w:hAnsi="Arial"/>
                <w:sz w:val="20"/>
              </w:rPr>
              <w:t>50</w:t>
            </w:r>
            <w:r w:rsidRPr="004904CB">
              <w:rPr>
                <w:rFonts w:ascii="Arial" w:eastAsia="Cambria" w:hAnsi="Arial"/>
                <w:sz w:val="20"/>
              </w:rPr>
              <w:t xml:space="preserve"> (0.4</w:t>
            </w:r>
            <w:r w:rsidR="00030CA0">
              <w:rPr>
                <w:rFonts w:ascii="Arial" w:eastAsia="Cambria" w:hAnsi="Arial"/>
                <w:sz w:val="20"/>
              </w:rPr>
              <w:t>4</w:t>
            </w:r>
            <w:r w:rsidRPr="004904CB">
              <w:rPr>
                <w:rFonts w:ascii="Arial" w:eastAsia="Cambria" w:hAnsi="Arial"/>
                <w:sz w:val="20"/>
              </w:rPr>
              <w:t>-0.5</w:t>
            </w:r>
            <w:r w:rsidR="00030CA0">
              <w:rPr>
                <w:rFonts w:ascii="Arial" w:eastAsia="Cambria" w:hAnsi="Arial"/>
                <w:sz w:val="20"/>
              </w:rPr>
              <w:t>8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429 (5.9)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6,861 (94.1)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030CA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0.9</w:t>
            </w:r>
            <w:r w:rsidR="00030CA0">
              <w:rPr>
                <w:rFonts w:ascii="Arial" w:eastAsia="Cambria" w:hAnsi="Arial"/>
                <w:sz w:val="20"/>
              </w:rPr>
              <w:t>1</w:t>
            </w:r>
            <w:r w:rsidRPr="004904CB">
              <w:rPr>
                <w:rFonts w:ascii="Arial" w:eastAsia="Cambria" w:hAnsi="Arial"/>
                <w:sz w:val="20"/>
              </w:rPr>
              <w:t xml:space="preserve"> (0.8</w:t>
            </w:r>
            <w:r w:rsidR="00030CA0">
              <w:rPr>
                <w:rFonts w:ascii="Arial" w:eastAsia="Cambria" w:hAnsi="Arial"/>
                <w:sz w:val="20"/>
              </w:rPr>
              <w:t>2</w:t>
            </w:r>
            <w:r w:rsidRPr="004904CB">
              <w:rPr>
                <w:rFonts w:ascii="Arial" w:eastAsia="Cambria" w:hAnsi="Arial"/>
                <w:sz w:val="20"/>
              </w:rPr>
              <w:t>-1.00)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47 (4.2)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1,067 (95.8)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030CA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0.6</w:t>
            </w:r>
            <w:r w:rsidR="00030CA0">
              <w:rPr>
                <w:rFonts w:ascii="Arial" w:eastAsia="Cambria" w:hAnsi="Arial"/>
                <w:sz w:val="20"/>
              </w:rPr>
              <w:t>5</w:t>
            </w:r>
            <w:r w:rsidRPr="004904CB">
              <w:rPr>
                <w:rFonts w:ascii="Arial" w:eastAsia="Cambria" w:hAnsi="Arial"/>
                <w:sz w:val="20"/>
              </w:rPr>
              <w:t xml:space="preserve"> (0.4</w:t>
            </w:r>
            <w:r w:rsidR="00030CA0">
              <w:rPr>
                <w:rFonts w:ascii="Arial" w:eastAsia="Cambria" w:hAnsi="Arial"/>
                <w:sz w:val="20"/>
              </w:rPr>
              <w:t>9</w:t>
            </w:r>
            <w:r w:rsidRPr="004904CB">
              <w:rPr>
                <w:rFonts w:ascii="Arial" w:eastAsia="Cambria" w:hAnsi="Arial"/>
                <w:sz w:val="20"/>
              </w:rPr>
              <w:t>-0.8</w:t>
            </w:r>
            <w:r w:rsidR="00030CA0">
              <w:rPr>
                <w:rFonts w:ascii="Arial" w:eastAsia="Cambria" w:hAnsi="Arial"/>
                <w:sz w:val="20"/>
              </w:rPr>
              <w:t>6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19 (2.4)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769 (97.6)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030CA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0.3</w:t>
            </w:r>
            <w:r w:rsidR="00030CA0">
              <w:rPr>
                <w:rFonts w:ascii="Arial" w:eastAsia="Cambria" w:hAnsi="Arial"/>
                <w:sz w:val="20"/>
              </w:rPr>
              <w:t>7</w:t>
            </w:r>
            <w:r w:rsidRPr="004904CB">
              <w:rPr>
                <w:rFonts w:ascii="Arial" w:eastAsia="Cambria" w:hAnsi="Arial"/>
                <w:sz w:val="20"/>
              </w:rPr>
              <w:t xml:space="preserve"> (0.2</w:t>
            </w:r>
            <w:r w:rsidR="00030CA0">
              <w:rPr>
                <w:rFonts w:ascii="Arial" w:eastAsia="Cambria" w:hAnsi="Arial"/>
                <w:sz w:val="20"/>
              </w:rPr>
              <w:t>4</w:t>
            </w:r>
            <w:r w:rsidRPr="004904CB">
              <w:rPr>
                <w:rFonts w:ascii="Arial" w:eastAsia="Cambria" w:hAnsi="Arial"/>
                <w:sz w:val="20"/>
              </w:rPr>
              <w:t>-0.5</w:t>
            </w:r>
            <w:r w:rsidR="00030CA0">
              <w:rPr>
                <w:rFonts w:ascii="Arial" w:eastAsia="Cambria" w:hAnsi="Arial"/>
                <w:sz w:val="20"/>
              </w:rPr>
              <w:t>8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1900 (5.7)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31,441 (94.3)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030CA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0.8</w:t>
            </w:r>
            <w:r w:rsidR="00030CA0">
              <w:rPr>
                <w:rFonts w:ascii="Arial" w:eastAsia="Cambria" w:hAnsi="Arial"/>
                <w:sz w:val="20"/>
              </w:rPr>
              <w:t>8</w:t>
            </w:r>
            <w:r w:rsidRPr="004904CB">
              <w:rPr>
                <w:rFonts w:ascii="Arial" w:eastAsia="Cambria" w:hAnsi="Arial"/>
                <w:sz w:val="20"/>
              </w:rPr>
              <w:t xml:space="preserve"> (0.8</w:t>
            </w:r>
            <w:r w:rsidR="00030CA0">
              <w:rPr>
                <w:rFonts w:ascii="Arial" w:eastAsia="Cambria" w:hAnsi="Arial"/>
                <w:sz w:val="20"/>
              </w:rPr>
              <w:t>3</w:t>
            </w:r>
            <w:r w:rsidRPr="004904CB">
              <w:rPr>
                <w:rFonts w:ascii="Arial" w:eastAsia="Cambria" w:hAnsi="Arial"/>
                <w:sz w:val="20"/>
              </w:rPr>
              <w:t>-0.92)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vMerge w:val="restart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4,185 (7.4)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52,524 (92.6)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vMerge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1,180 (4.8)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23,586 (95.2)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0.6</w:t>
            </w:r>
            <w:r w:rsidR="00560282">
              <w:rPr>
                <w:rFonts w:ascii="Arial" w:eastAsia="Cambria" w:hAnsi="Arial"/>
                <w:sz w:val="20"/>
              </w:rPr>
              <w:t>5</w:t>
            </w:r>
            <w:r w:rsidRPr="004904CB">
              <w:rPr>
                <w:rFonts w:ascii="Arial" w:eastAsia="Cambria" w:hAnsi="Arial"/>
                <w:sz w:val="20"/>
              </w:rPr>
              <w:t xml:space="preserve"> (0.</w:t>
            </w:r>
            <w:r w:rsidR="00560282">
              <w:rPr>
                <w:rFonts w:ascii="Arial" w:eastAsia="Cambria" w:hAnsi="Arial"/>
                <w:sz w:val="20"/>
              </w:rPr>
              <w:t>61</w:t>
            </w:r>
            <w:r w:rsidRPr="004904CB">
              <w:rPr>
                <w:rFonts w:ascii="Arial" w:eastAsia="Cambria" w:hAnsi="Arial"/>
                <w:sz w:val="20"/>
              </w:rPr>
              <w:t>-0.6</w:t>
            </w:r>
            <w:r w:rsidR="00560282">
              <w:rPr>
                <w:rFonts w:ascii="Arial" w:eastAsia="Cambria" w:hAnsi="Arial"/>
                <w:sz w:val="20"/>
              </w:rPr>
              <w:t>9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907 (3.9)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22,571 (96.1)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0.5</w:t>
            </w:r>
            <w:r w:rsidR="00560282">
              <w:rPr>
                <w:rFonts w:ascii="Arial" w:eastAsia="Cambria" w:hAnsi="Arial"/>
                <w:sz w:val="20"/>
              </w:rPr>
              <w:t>2</w:t>
            </w:r>
            <w:r w:rsidRPr="004904CB">
              <w:rPr>
                <w:rFonts w:ascii="Arial" w:eastAsia="Cambria" w:hAnsi="Arial"/>
                <w:sz w:val="20"/>
              </w:rPr>
              <w:t xml:space="preserve"> (0.4</w:t>
            </w:r>
            <w:r w:rsidR="00560282">
              <w:rPr>
                <w:rFonts w:ascii="Arial" w:eastAsia="Cambria" w:hAnsi="Arial"/>
                <w:sz w:val="20"/>
              </w:rPr>
              <w:t>9</w:t>
            </w:r>
            <w:r w:rsidRPr="004904CB">
              <w:rPr>
                <w:rFonts w:ascii="Arial" w:eastAsia="Cambria" w:hAnsi="Arial"/>
                <w:sz w:val="20"/>
              </w:rPr>
              <w:t>-0.5</w:t>
            </w:r>
            <w:r w:rsidR="00560282">
              <w:rPr>
                <w:rFonts w:ascii="Arial" w:eastAsia="Cambria" w:hAnsi="Arial"/>
                <w:sz w:val="20"/>
              </w:rPr>
              <w:t>6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108 (5.0)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2,059 (95.0)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0.6</w:t>
            </w:r>
            <w:r w:rsidR="00560282">
              <w:rPr>
                <w:rFonts w:ascii="Arial" w:eastAsia="Cambria" w:hAnsi="Arial"/>
                <w:sz w:val="20"/>
              </w:rPr>
              <w:t>8</w:t>
            </w:r>
            <w:r w:rsidRPr="004904CB">
              <w:rPr>
                <w:rFonts w:ascii="Arial" w:eastAsia="Cambria" w:hAnsi="Arial"/>
                <w:sz w:val="20"/>
              </w:rPr>
              <w:t xml:space="preserve"> (0.5</w:t>
            </w:r>
            <w:r w:rsidR="00560282">
              <w:rPr>
                <w:rFonts w:ascii="Arial" w:eastAsia="Cambria" w:hAnsi="Arial"/>
                <w:sz w:val="20"/>
              </w:rPr>
              <w:t>6</w:t>
            </w:r>
            <w:r w:rsidRPr="004904CB">
              <w:rPr>
                <w:rFonts w:ascii="Arial" w:eastAsia="Cambria" w:hAnsi="Arial"/>
                <w:sz w:val="20"/>
              </w:rPr>
              <w:t>-0.8</w:t>
            </w:r>
            <w:r w:rsidR="00560282">
              <w:rPr>
                <w:rFonts w:ascii="Arial" w:eastAsia="Cambria" w:hAnsi="Arial"/>
                <w:sz w:val="20"/>
              </w:rPr>
              <w:t>1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273 (5.6)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4,633 (94.4)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0.7</w:t>
            </w:r>
            <w:r w:rsidR="00560282">
              <w:rPr>
                <w:rFonts w:ascii="Arial" w:eastAsia="Cambria" w:hAnsi="Arial"/>
                <w:sz w:val="20"/>
              </w:rPr>
              <w:t>5</w:t>
            </w:r>
            <w:r w:rsidRPr="004904CB">
              <w:rPr>
                <w:rFonts w:ascii="Arial" w:eastAsia="Cambria" w:hAnsi="Arial"/>
                <w:sz w:val="20"/>
              </w:rPr>
              <w:t xml:space="preserve"> (0.6</w:t>
            </w:r>
            <w:r w:rsidR="00560282">
              <w:rPr>
                <w:rFonts w:ascii="Arial" w:eastAsia="Cambria" w:hAnsi="Arial"/>
                <w:sz w:val="20"/>
              </w:rPr>
              <w:t>7</w:t>
            </w:r>
            <w:r w:rsidRPr="004904CB">
              <w:rPr>
                <w:rFonts w:ascii="Arial" w:eastAsia="Cambria" w:hAnsi="Arial"/>
                <w:sz w:val="20"/>
              </w:rPr>
              <w:t>-0.8</w:t>
            </w:r>
            <w:r w:rsidR="00560282">
              <w:rPr>
                <w:rFonts w:ascii="Arial" w:eastAsia="Cambria" w:hAnsi="Arial"/>
                <w:sz w:val="20"/>
              </w:rPr>
              <w:t>5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vMerge w:val="restart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Small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688 (7.4)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8,633 (92.6)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vMerge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Medium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1,213 (5.3)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21,675 (94.7)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  <w:t>0.7</w:t>
            </w:r>
            <w:r w:rsidR="00560282">
              <w:rPr>
                <w:rFonts w:ascii="Arial" w:eastAsia="Cambria" w:hAnsi="Arial"/>
                <w:sz w:val="20"/>
              </w:rPr>
              <w:t>2</w:t>
            </w:r>
            <w:r>
              <w:rPr>
                <w:rFonts w:ascii="Arial" w:eastAsia="Cambria" w:hAnsi="Arial"/>
                <w:sz w:val="20"/>
              </w:rPr>
              <w:t xml:space="preserve"> (0.6</w:t>
            </w:r>
            <w:r w:rsidR="00560282">
              <w:rPr>
                <w:rFonts w:ascii="Arial" w:eastAsia="Cambria" w:hAnsi="Arial"/>
                <w:sz w:val="20"/>
              </w:rPr>
              <w:t>6</w:t>
            </w:r>
            <w:r>
              <w:rPr>
                <w:rFonts w:ascii="Arial" w:eastAsia="Cambria" w:hAnsi="Arial"/>
                <w:sz w:val="20"/>
              </w:rPr>
              <w:t>-0.7</w:t>
            </w:r>
            <w:r w:rsidR="00560282">
              <w:rPr>
                <w:rFonts w:ascii="Arial" w:eastAsia="Cambria" w:hAnsi="Arial"/>
                <w:sz w:val="20"/>
              </w:rPr>
              <w:t>9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Large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4,752 (6.0)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75,065 (94.0)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tabs>
                <w:tab w:val="left" w:pos="368"/>
                <w:tab w:val="center" w:pos="115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  <w:t>0.</w:t>
            </w:r>
            <w:r w:rsidR="00560282">
              <w:rPr>
                <w:rFonts w:ascii="Arial" w:eastAsia="Cambria" w:hAnsi="Arial"/>
                <w:sz w:val="20"/>
              </w:rPr>
              <w:t>81</w:t>
            </w:r>
            <w:r>
              <w:rPr>
                <w:rFonts w:ascii="Arial" w:eastAsia="Cambria" w:hAnsi="Arial"/>
                <w:sz w:val="20"/>
              </w:rPr>
              <w:t xml:space="preserve"> (0.7</w:t>
            </w:r>
            <w:r w:rsidR="00560282">
              <w:rPr>
                <w:rFonts w:ascii="Arial" w:eastAsia="Cambria" w:hAnsi="Arial"/>
                <w:sz w:val="20"/>
              </w:rPr>
              <w:t>5</w:t>
            </w:r>
            <w:r>
              <w:rPr>
                <w:rFonts w:ascii="Arial" w:eastAsia="Cambria" w:hAnsi="Arial"/>
                <w:sz w:val="20"/>
              </w:rPr>
              <w:t>-0.8</w:t>
            </w:r>
            <w:r w:rsidR="00560282">
              <w:rPr>
                <w:rFonts w:ascii="Arial" w:eastAsia="Cambria" w:hAnsi="Arial"/>
                <w:sz w:val="20"/>
              </w:rPr>
              <w:t>7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bottom w:val="single" w:sz="4" w:space="0" w:color="auto"/>
            </w:tcBorders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vMerge w:val="restart"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Teaching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5,839 (6.5)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83,654 (93.5)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vMerge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Non-teaching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814 (3.6)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21,719 (96.4)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0.54 (0.50-0.58)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vMerge w:val="restart"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Urban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6,490 (6.1)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100,200 (93.9)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vMerge/>
            <w:tcBorders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Non-urban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163 (3.1)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5,173 (96.9)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0.</w:t>
            </w:r>
            <w:r w:rsidR="00560282">
              <w:rPr>
                <w:rFonts w:ascii="Arial" w:eastAsia="Cambria" w:hAnsi="Arial"/>
                <w:sz w:val="20"/>
              </w:rPr>
              <w:t>50</w:t>
            </w:r>
            <w:r w:rsidRPr="004904CB">
              <w:rPr>
                <w:rFonts w:ascii="Arial" w:eastAsia="Cambria" w:hAnsi="Arial"/>
                <w:sz w:val="20"/>
              </w:rPr>
              <w:t xml:space="preserve"> (0.4</w:t>
            </w:r>
            <w:r w:rsidR="00560282">
              <w:rPr>
                <w:rFonts w:ascii="Arial" w:eastAsia="Cambria" w:hAnsi="Arial"/>
                <w:sz w:val="20"/>
              </w:rPr>
              <w:t>3</w:t>
            </w:r>
            <w:r w:rsidRPr="004904CB">
              <w:rPr>
                <w:rFonts w:ascii="Arial" w:eastAsia="Cambria" w:hAnsi="Arial"/>
                <w:sz w:val="20"/>
              </w:rPr>
              <w:t>-0.5</w:t>
            </w:r>
            <w:r w:rsidR="00560282">
              <w:rPr>
                <w:rFonts w:ascii="Arial" w:eastAsia="Cambria" w:hAnsi="Arial"/>
                <w:sz w:val="20"/>
              </w:rPr>
              <w:t>9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9F6B13" w:rsidRPr="004904CB" w:rsidRDefault="009F6B13" w:rsidP="00C06F6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Northeast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1,326 (4.6)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27,782 (95.4)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 [Reference]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Midwest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1,465 (5.5)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25,414 (94.5)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1.</w:t>
            </w:r>
            <w:r w:rsidR="00560282">
              <w:rPr>
                <w:rFonts w:ascii="Arial" w:eastAsia="Cambria" w:hAnsi="Arial"/>
                <w:sz w:val="20"/>
              </w:rPr>
              <w:t>20</w:t>
            </w:r>
            <w:r w:rsidRPr="004904CB">
              <w:rPr>
                <w:rFonts w:ascii="Arial" w:eastAsia="Cambria" w:hAnsi="Arial"/>
                <w:sz w:val="20"/>
              </w:rPr>
              <w:t xml:space="preserve"> (1.1</w:t>
            </w:r>
            <w:r w:rsidR="00560282">
              <w:rPr>
                <w:rFonts w:ascii="Arial" w:eastAsia="Cambria" w:hAnsi="Arial"/>
                <w:sz w:val="20"/>
              </w:rPr>
              <w:t>1</w:t>
            </w:r>
            <w:r w:rsidRPr="004904CB">
              <w:rPr>
                <w:rFonts w:ascii="Arial" w:eastAsia="Cambria" w:hAnsi="Arial"/>
                <w:sz w:val="20"/>
              </w:rPr>
              <w:t>-1.</w:t>
            </w:r>
            <w:r w:rsidR="00560282">
              <w:rPr>
                <w:rFonts w:ascii="Arial" w:eastAsia="Cambria" w:hAnsi="Arial"/>
                <w:sz w:val="20"/>
              </w:rPr>
              <w:t>29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nil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South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2,202 (6.8)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30,096 (93.2)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1.5</w:t>
            </w:r>
            <w:r w:rsidR="00560282">
              <w:rPr>
                <w:rFonts w:ascii="Arial" w:eastAsia="Cambria" w:hAnsi="Arial"/>
                <w:sz w:val="20"/>
              </w:rPr>
              <w:t>0</w:t>
            </w:r>
            <w:r w:rsidRPr="004904CB">
              <w:rPr>
                <w:rFonts w:ascii="Arial" w:eastAsia="Cambria" w:hAnsi="Arial"/>
                <w:sz w:val="20"/>
              </w:rPr>
              <w:t xml:space="preserve"> (1.4</w:t>
            </w:r>
            <w:r w:rsidR="00560282">
              <w:rPr>
                <w:rFonts w:ascii="Arial" w:eastAsia="Cambria" w:hAnsi="Arial"/>
                <w:sz w:val="20"/>
              </w:rPr>
              <w:t>0</w:t>
            </w:r>
            <w:r w:rsidRPr="004904CB">
              <w:rPr>
                <w:rFonts w:ascii="Arial" w:eastAsia="Cambria" w:hAnsi="Arial"/>
                <w:sz w:val="20"/>
              </w:rPr>
              <w:t>-1.6</w:t>
            </w:r>
            <w:r w:rsidR="00560282">
              <w:rPr>
                <w:rFonts w:ascii="Arial" w:eastAsia="Cambria" w:hAnsi="Arial"/>
                <w:sz w:val="20"/>
              </w:rPr>
              <w:t>0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nil"/>
              <w:bottom w:val="single" w:sz="4" w:space="0" w:color="auto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West</w:t>
            </w: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1,661 (7.0)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22,081 (93.0)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560282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1.5</w:t>
            </w:r>
            <w:r w:rsidR="00560282">
              <w:rPr>
                <w:rFonts w:ascii="Arial" w:eastAsia="Cambria" w:hAnsi="Arial"/>
                <w:sz w:val="20"/>
              </w:rPr>
              <w:t>4</w:t>
            </w:r>
            <w:r w:rsidRPr="004904CB">
              <w:rPr>
                <w:rFonts w:ascii="Arial" w:eastAsia="Cambria" w:hAnsi="Arial"/>
                <w:sz w:val="20"/>
              </w:rPr>
              <w:t xml:space="preserve"> (1.4</w:t>
            </w:r>
            <w:r w:rsidR="00560282">
              <w:rPr>
                <w:rFonts w:ascii="Arial" w:eastAsia="Cambria" w:hAnsi="Arial"/>
                <w:sz w:val="20"/>
              </w:rPr>
              <w:t>3</w:t>
            </w:r>
            <w:r w:rsidRPr="004904CB">
              <w:rPr>
                <w:rFonts w:ascii="Arial" w:eastAsia="Cambria" w:hAnsi="Arial"/>
                <w:sz w:val="20"/>
              </w:rPr>
              <w:t>-1.</w:t>
            </w:r>
            <w:r w:rsidR="00560282">
              <w:rPr>
                <w:rFonts w:ascii="Arial" w:eastAsia="Cambria" w:hAnsi="Arial"/>
                <w:sz w:val="20"/>
              </w:rPr>
              <w:t>65</w:t>
            </w:r>
            <w:r w:rsidRPr="004904CB">
              <w:rPr>
                <w:rFonts w:ascii="Arial" w:eastAsia="Cambria" w:hAnsi="Arial"/>
                <w:sz w:val="20"/>
              </w:rPr>
              <w:t>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</w:tr>
      <w:tr w:rsidR="009F6B13" w:rsidRPr="004904CB" w:rsidTr="00C06F6D">
        <w:tc>
          <w:tcPr>
            <w:tcW w:w="1548" w:type="dxa"/>
            <w:tcBorders>
              <w:top w:val="single" w:sz="4" w:space="0" w:color="auto"/>
            </w:tcBorders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t>Total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16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1350" w:type="dxa"/>
            <w:gridSpan w:val="2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t>6,653</w:t>
            </w:r>
            <w:r w:rsidRPr="004904CB">
              <w:rPr>
                <w:rFonts w:ascii="Arial" w:eastAsia="Cambria" w:hAnsi="Arial"/>
                <w:sz w:val="20"/>
              </w:rPr>
              <w:t xml:space="preserve"> (5.9)</w:t>
            </w:r>
          </w:p>
        </w:tc>
        <w:tc>
          <w:tcPr>
            <w:tcW w:w="153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b/>
                <w:sz w:val="20"/>
              </w:rPr>
              <w:t>105,373</w:t>
            </w:r>
            <w:r w:rsidRPr="004904CB">
              <w:rPr>
                <w:rFonts w:ascii="Arial" w:eastAsia="Cambria" w:hAnsi="Arial"/>
                <w:sz w:val="20"/>
              </w:rPr>
              <w:t xml:space="preserve"> (94.1)</w:t>
            </w:r>
          </w:p>
        </w:tc>
        <w:tc>
          <w:tcPr>
            <w:tcW w:w="2520" w:type="dxa"/>
            <w:gridSpan w:val="3"/>
          </w:tcPr>
          <w:p w:rsidR="009F6B13" w:rsidRPr="004904CB" w:rsidRDefault="009F6B13" w:rsidP="00C06F6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F6B13" w:rsidRPr="004904CB" w:rsidTr="00C06F6D">
        <w:tc>
          <w:tcPr>
            <w:tcW w:w="9108" w:type="dxa"/>
            <w:gridSpan w:val="11"/>
          </w:tcPr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Data are cumulative,</w:t>
            </w:r>
            <w:r>
              <w:rPr>
                <w:rFonts w:ascii="Arial" w:eastAsia="Cambria" w:hAnsi="Arial"/>
                <w:sz w:val="20"/>
              </w:rPr>
              <w:t xml:space="preserve"> 1990-2008. Abbreviations: CI, confidence interval.</w:t>
            </w:r>
          </w:p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a</w:t>
            </w:r>
            <w:r w:rsidRPr="004904CB">
              <w:rPr>
                <w:rFonts w:ascii="Arial" w:eastAsia="Cambria" w:hAnsi="Arial"/>
                <w:sz w:val="20"/>
              </w:rPr>
              <w:t>Statistically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significant value (</w:t>
            </w:r>
            <w:r w:rsidRPr="004904CB">
              <w:rPr>
                <w:rFonts w:ascii="Arial" w:eastAsia="Cambria" w:hAnsi="Arial"/>
                <w:i/>
                <w:sz w:val="20"/>
              </w:rPr>
              <w:t>P</w:t>
            </w:r>
            <w:r w:rsidRPr="004904CB">
              <w:rPr>
                <w:rFonts w:ascii="Arial" w:eastAsia="Cambria" w:hAnsi="Arial"/>
                <w:sz w:val="20"/>
              </w:rPr>
              <w:t xml:space="preserve">&lt;.05). </w:t>
            </w:r>
          </w:p>
          <w:p w:rsidR="009F6B13" w:rsidRPr="004904CB" w:rsidRDefault="009F6B13" w:rsidP="00C06F6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  <w:r w:rsidRPr="004904CB">
              <w:rPr>
                <w:rFonts w:ascii="Arial" w:eastAsia="Cambria" w:hAnsi="Arial"/>
                <w:sz w:val="20"/>
              </w:rPr>
              <w:t>Hospital</w:t>
            </w:r>
            <w:proofErr w:type="spellEnd"/>
            <w:proofErr w:type="gramEnd"/>
            <w:r w:rsidRPr="004904CB">
              <w:rPr>
                <w:rFonts w:ascii="Arial" w:eastAsia="Cambria" w:hAnsi="Arial"/>
                <w:sz w:val="20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</w:p>
        </w:tc>
      </w:tr>
    </w:tbl>
    <w:p w:rsidR="009F6B13" w:rsidRDefault="009F6B13" w:rsidP="009F6B13">
      <w:pPr>
        <w:spacing w:after="0" w:line="480" w:lineRule="auto"/>
      </w:pPr>
    </w:p>
    <w:p w:rsidR="005760C0" w:rsidRDefault="005760C0"/>
    <w:sectPr w:rsidR="005760C0" w:rsidSect="0057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6B13"/>
    <w:rsid w:val="00030CA0"/>
    <w:rsid w:val="004147AE"/>
    <w:rsid w:val="00560282"/>
    <w:rsid w:val="005760C0"/>
    <w:rsid w:val="006E3CDA"/>
    <w:rsid w:val="009F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13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5</cp:revision>
  <dcterms:created xsi:type="dcterms:W3CDTF">2011-08-15T04:11:00Z</dcterms:created>
  <dcterms:modified xsi:type="dcterms:W3CDTF">2011-08-15T04:38:00Z</dcterms:modified>
</cp:coreProperties>
</file>