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5CA" w:rsidRPr="00DF0F40" w:rsidRDefault="00EC0958">
      <w:pPr>
        <w:rPr>
          <w:b/>
          <w:sz w:val="24"/>
          <w:szCs w:val="24"/>
        </w:rPr>
      </w:pPr>
      <w:r w:rsidRPr="00DF0F40">
        <w:rPr>
          <w:b/>
          <w:sz w:val="24"/>
          <w:szCs w:val="24"/>
        </w:rPr>
        <w:t xml:space="preserve">Impact of wait times for orthologous heart transplant after implantation of left ventricular assist devices (LVAD) </w:t>
      </w:r>
    </w:p>
    <w:p w:rsidR="003C1A34" w:rsidRPr="00DF0F40" w:rsidRDefault="00EC0958">
      <w:pPr>
        <w:rPr>
          <w:sz w:val="24"/>
          <w:szCs w:val="24"/>
        </w:rPr>
      </w:pPr>
      <w:r w:rsidRPr="00DF0F40">
        <w:rPr>
          <w:sz w:val="24"/>
          <w:szCs w:val="24"/>
        </w:rPr>
        <w:t xml:space="preserve">Background: The optimal timing for orthologous heart transplant (OHT) after the implantation of left ventricular assist devices (LVAD) is unknown. </w:t>
      </w:r>
      <w:r w:rsidR="00225C92">
        <w:rPr>
          <w:sz w:val="24"/>
          <w:szCs w:val="24"/>
        </w:rPr>
        <w:t>In determining the optimal time for OHT after LVAD, t</w:t>
      </w:r>
      <w:r w:rsidRPr="00DF0F40">
        <w:rPr>
          <w:sz w:val="24"/>
          <w:szCs w:val="24"/>
        </w:rPr>
        <w:t xml:space="preserve">he need for clinical stability and time to recover from major surgery is balanced by the risk of LVAD complications and the formation of adhesions and scarring. </w:t>
      </w:r>
    </w:p>
    <w:p w:rsidR="00910A55" w:rsidRPr="00DF0F40" w:rsidRDefault="00EC0958" w:rsidP="00910A55">
      <w:pPr>
        <w:rPr>
          <w:rFonts w:eastAsia="Times New Roman" w:cs="Times New Roman"/>
          <w:color w:val="000000"/>
          <w:sz w:val="24"/>
          <w:szCs w:val="24"/>
        </w:rPr>
      </w:pPr>
      <w:r w:rsidRPr="00DF0F40">
        <w:rPr>
          <w:sz w:val="24"/>
          <w:szCs w:val="24"/>
        </w:rPr>
        <w:t xml:space="preserve">Methods and Results: With the Nationwide Inpatient Sample (NIS) from 1998 to 2011, we identified 2200 patients 18 years of age or greater who underwent implantation of a LVAD and for which day of procedures was available.  </w:t>
      </w:r>
      <w:r w:rsidRPr="00DF0F40">
        <w:rPr>
          <w:sz w:val="24"/>
          <w:szCs w:val="24"/>
        </w:rPr>
        <w:t>164 (7.5%) patients also underwent OHT during the same hospitalization, which occurred 32 days (IQR 7.75 - 66 days) after LVAD implantation.</w:t>
      </w:r>
      <w:r w:rsidRPr="00DF0F40">
        <w:rPr>
          <w:sz w:val="24"/>
          <w:szCs w:val="24"/>
        </w:rPr>
        <w:t xml:space="preserve"> Of patients who underwent OHT, increased in-hospital mortality was identified in patients who underwent transplantation within 7 days of LVAD implantation compared to patients who underwent transplant after 8 days</w:t>
      </w:r>
      <w:r w:rsidR="00225C92">
        <w:rPr>
          <w:sz w:val="24"/>
          <w:szCs w:val="24"/>
        </w:rPr>
        <w:t xml:space="preserve"> </w:t>
      </w:r>
      <w:r w:rsidRPr="00DF0F40">
        <w:rPr>
          <w:sz w:val="24"/>
          <w:szCs w:val="24"/>
        </w:rPr>
        <w:t>(26.8% vs. 12.2%, p = 0.0483). There was no statistically significant difference in patient demographics with regards to age, sex, race, household income, or number of comorbid diagnoses.  Patients who waited longer after LVAD implantation for OHT had longer hospital stays (</w:t>
      </w:r>
      <w:r w:rsidRPr="00DF0F40">
        <w:rPr>
          <w:rFonts w:eastAsia="Times New Roman" w:cs="Times New Roman"/>
          <w:color w:val="000000"/>
          <w:sz w:val="24"/>
          <w:szCs w:val="24"/>
        </w:rPr>
        <w:t>39.3 ± 33.2 days for the first quartile, 48.87 ± 25.6</w:t>
      </w:r>
      <w:r w:rsidR="00910A55">
        <w:rPr>
          <w:rFonts w:eastAsia="Times New Roman" w:cs="Times New Roman"/>
          <w:color w:val="000000"/>
          <w:sz w:val="24"/>
          <w:szCs w:val="24"/>
        </w:rPr>
        <w:t xml:space="preserve"> </w:t>
      </w:r>
      <w:r w:rsidRPr="00DF0F40">
        <w:rPr>
          <w:rFonts w:eastAsia="Times New Roman" w:cs="Times New Roman"/>
          <w:color w:val="000000"/>
          <w:sz w:val="24"/>
          <w:szCs w:val="24"/>
        </w:rPr>
        <w:t>days for the second quartile, 85.8 ± 40.1 days for the third quartile, 151.2  ± 52.6 days for the fourth quartile</w:t>
      </w:r>
      <w:r w:rsidR="00910A55">
        <w:rPr>
          <w:rFonts w:eastAsia="Times New Roman" w:cs="Times New Roman"/>
          <w:color w:val="000000"/>
          <w:sz w:val="24"/>
          <w:szCs w:val="24"/>
        </w:rPr>
        <w:t>)</w:t>
      </w:r>
      <w:r w:rsidRPr="00DF0F40">
        <w:rPr>
          <w:rFonts w:eastAsia="Times New Roman" w:cs="Times New Roman"/>
          <w:color w:val="000000"/>
          <w:sz w:val="24"/>
          <w:szCs w:val="24"/>
        </w:rPr>
        <w:t>.</w:t>
      </w:r>
      <w:r w:rsidR="00225C92">
        <w:rPr>
          <w:rFonts w:eastAsia="Times New Roman" w:cs="Times New Roman"/>
          <w:color w:val="000000"/>
          <w:sz w:val="24"/>
          <w:szCs w:val="24"/>
        </w:rPr>
        <w:t xml:space="preserve"> </w:t>
      </w:r>
      <w:r w:rsidR="00B34A8F">
        <w:rPr>
          <w:rFonts w:eastAsia="Times New Roman" w:cs="Times New Roman"/>
          <w:color w:val="000000"/>
          <w:sz w:val="24"/>
          <w:szCs w:val="24"/>
        </w:rPr>
        <w:t xml:space="preserve">Compared to patients who underwent LVAD implantation but did not undergo OHT, patients who </w:t>
      </w:r>
      <w:r w:rsidR="00B34A8F" w:rsidRPr="00910A55">
        <w:rPr>
          <w:sz w:val="24"/>
          <w:szCs w:val="24"/>
        </w:rPr>
        <w:t xml:space="preserve">underwent </w:t>
      </w:r>
      <w:r w:rsidR="00B34A8F">
        <w:rPr>
          <w:sz w:val="24"/>
          <w:szCs w:val="24"/>
        </w:rPr>
        <w:t>late OHT after LVAD had decreased mortality (12.2% vs. 27.</w:t>
      </w:r>
      <w:r w:rsidR="003A4A10">
        <w:rPr>
          <w:sz w:val="24"/>
          <w:szCs w:val="24"/>
        </w:rPr>
        <w:t>0</w:t>
      </w:r>
      <w:r w:rsidR="00B34A8F">
        <w:rPr>
          <w:sz w:val="24"/>
          <w:szCs w:val="24"/>
        </w:rPr>
        <w:t>% p &lt; 0.001). Patients who underwent early transplant after LVAD did not show a similar mortality benefit (26.8% vs. 27.</w:t>
      </w:r>
      <w:r w:rsidR="003A4A10">
        <w:rPr>
          <w:sz w:val="24"/>
          <w:szCs w:val="24"/>
        </w:rPr>
        <w:t>0</w:t>
      </w:r>
      <w:r w:rsidR="00B34A8F">
        <w:rPr>
          <w:sz w:val="24"/>
          <w:szCs w:val="24"/>
        </w:rPr>
        <w:t xml:space="preserve">%, p = 0.946). </w:t>
      </w:r>
    </w:p>
    <w:p w:rsidR="00BD2197" w:rsidRDefault="00EC0958">
      <w:pPr>
        <w:rPr>
          <w:sz w:val="24"/>
          <w:szCs w:val="24"/>
        </w:rPr>
      </w:pPr>
      <w:r w:rsidRPr="00DF0F40">
        <w:rPr>
          <w:sz w:val="24"/>
          <w:szCs w:val="24"/>
        </w:rPr>
        <w:t xml:space="preserve">Conclusions: </w:t>
      </w:r>
      <w:r w:rsidR="00225C92">
        <w:rPr>
          <w:sz w:val="24"/>
          <w:szCs w:val="24"/>
        </w:rPr>
        <w:t xml:space="preserve">In the Nationwide Inpatient Sample, </w:t>
      </w:r>
      <w:r w:rsidR="00B34A8F">
        <w:rPr>
          <w:sz w:val="24"/>
          <w:szCs w:val="24"/>
        </w:rPr>
        <w:t xml:space="preserve">the rate of in-hospital mortality is decreased for patients who underwent late OHT after LVAD (greater than 8 days from LVAD implantation) compared to patients who did not receive OHT and patients </w:t>
      </w:r>
      <w:r w:rsidRPr="00DF0F40">
        <w:rPr>
          <w:sz w:val="24"/>
          <w:szCs w:val="24"/>
        </w:rPr>
        <w:t xml:space="preserve">who undergo </w:t>
      </w:r>
      <w:r w:rsidR="00225C92">
        <w:rPr>
          <w:sz w:val="24"/>
          <w:szCs w:val="24"/>
        </w:rPr>
        <w:t>OHT</w:t>
      </w:r>
      <w:r w:rsidRPr="00DF0F40">
        <w:rPr>
          <w:sz w:val="24"/>
          <w:szCs w:val="24"/>
        </w:rPr>
        <w:t xml:space="preserve"> within 1 week of LVAD implantation</w:t>
      </w:r>
      <w:r w:rsidR="00B34A8F">
        <w:rPr>
          <w:sz w:val="24"/>
          <w:szCs w:val="24"/>
        </w:rPr>
        <w:t>.</w:t>
      </w:r>
      <w:r w:rsidRPr="00DF0F40">
        <w:rPr>
          <w:sz w:val="24"/>
          <w:szCs w:val="24"/>
        </w:rPr>
        <w:t xml:space="preserve"> </w:t>
      </w:r>
    </w:p>
    <w:p w:rsidR="00BD2197" w:rsidRDefault="00BD2197">
      <w:pPr>
        <w:rPr>
          <w:sz w:val="24"/>
          <w:szCs w:val="24"/>
        </w:rPr>
      </w:pPr>
    </w:p>
    <w:p w:rsidR="00BD2197" w:rsidRDefault="00BD2197">
      <w:pPr>
        <w:rPr>
          <w:sz w:val="24"/>
          <w:szCs w:val="24"/>
        </w:rPr>
      </w:pPr>
      <w:bookmarkStart w:id="0" w:name="_GoBack"/>
      <w:bookmarkEnd w:id="0"/>
    </w:p>
    <w:p w:rsidR="00BD2197" w:rsidRDefault="00BD2197">
      <w:pPr>
        <w:rPr>
          <w:sz w:val="24"/>
          <w:szCs w:val="24"/>
        </w:rPr>
      </w:pPr>
    </w:p>
    <w:p w:rsidR="00BD2197" w:rsidRDefault="00BD2197">
      <w:pPr>
        <w:rPr>
          <w:sz w:val="24"/>
          <w:szCs w:val="24"/>
        </w:rPr>
      </w:pPr>
    </w:p>
    <w:p w:rsidR="00BD2197" w:rsidRDefault="00BD2197">
      <w:pPr>
        <w:rPr>
          <w:sz w:val="24"/>
          <w:szCs w:val="24"/>
        </w:rPr>
      </w:pPr>
    </w:p>
    <w:p w:rsidR="00BD2197" w:rsidRDefault="00BD2197">
      <w:pPr>
        <w:rPr>
          <w:sz w:val="24"/>
          <w:szCs w:val="24"/>
        </w:rPr>
      </w:pPr>
    </w:p>
    <w:p w:rsidR="00BD2197" w:rsidRDefault="00BD2197">
      <w:pPr>
        <w:rPr>
          <w:sz w:val="24"/>
          <w:szCs w:val="24"/>
        </w:rPr>
      </w:pPr>
    </w:p>
    <w:p w:rsidR="00BD2197" w:rsidRPr="00DF0F40" w:rsidRDefault="00BD2197">
      <w:pPr>
        <w:rPr>
          <w:sz w:val="24"/>
          <w:szCs w:val="24"/>
        </w:rPr>
      </w:pPr>
    </w:p>
    <w:tbl>
      <w:tblPr>
        <w:tblW w:w="10755" w:type="dxa"/>
        <w:tblInd w:w="-702" w:type="dxa"/>
        <w:tblLook w:val="04A0" w:firstRow="1" w:lastRow="0" w:firstColumn="1" w:lastColumn="0" w:noHBand="0" w:noVBand="1"/>
      </w:tblPr>
      <w:tblGrid>
        <w:gridCol w:w="2855"/>
        <w:gridCol w:w="1580"/>
        <w:gridCol w:w="1580"/>
        <w:gridCol w:w="1580"/>
        <w:gridCol w:w="1580"/>
        <w:gridCol w:w="1580"/>
      </w:tblGrid>
      <w:tr w:rsidR="00B34A8F" w:rsidRPr="00B34A8F" w:rsidTr="00DF0F40">
        <w:trPr>
          <w:trHeight w:val="735"/>
        </w:trPr>
        <w:tc>
          <w:tcPr>
            <w:tcW w:w="10755" w:type="dxa"/>
            <w:gridSpan w:val="6"/>
            <w:tcBorders>
              <w:top w:val="nil"/>
              <w:left w:val="nil"/>
              <w:bottom w:val="single" w:sz="8" w:space="0" w:color="000000"/>
              <w:right w:val="nil"/>
            </w:tcBorders>
            <w:shd w:val="clear" w:color="auto" w:fill="auto"/>
            <w:vAlign w:val="center"/>
            <w:hideMark/>
          </w:tcPr>
          <w:p w:rsidR="00BD2197" w:rsidRDefault="00B34A8F">
            <w:pPr>
              <w:spacing w:after="0" w:line="240" w:lineRule="auto"/>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lastRenderedPageBreak/>
              <w:t xml:space="preserve">Table </w:t>
            </w:r>
            <w:r w:rsidR="00305687">
              <w:rPr>
                <w:rFonts w:ascii="Times New Roman" w:eastAsia="Times New Roman" w:hAnsi="Times New Roman" w:cs="Times New Roman"/>
                <w:b/>
                <w:bCs/>
                <w:color w:val="000000"/>
                <w:sz w:val="24"/>
                <w:szCs w:val="24"/>
              </w:rPr>
              <w:t>1</w:t>
            </w:r>
            <w:r w:rsidRPr="00B34A8F">
              <w:rPr>
                <w:rFonts w:ascii="Times New Roman" w:eastAsia="Times New Roman" w:hAnsi="Times New Roman" w:cs="Times New Roman"/>
                <w:b/>
                <w:bCs/>
                <w:color w:val="000000"/>
                <w:sz w:val="24"/>
                <w:szCs w:val="24"/>
              </w:rPr>
              <w:t xml:space="preserve">. </w:t>
            </w:r>
            <w:r w:rsidRPr="00B34A8F">
              <w:rPr>
                <w:rFonts w:ascii="Times New Roman" w:eastAsia="Times New Roman" w:hAnsi="Times New Roman" w:cs="Times New Roman"/>
                <w:color w:val="000000"/>
                <w:sz w:val="24"/>
                <w:szCs w:val="24"/>
              </w:rPr>
              <w:t>Baseline demographics for early and late in-hospital Orthostatic Heart Transplant (OHT) after Left Ventricular Assist Device (LVAD) Implantation</w:t>
            </w:r>
            <w:r w:rsidRPr="00B34A8F">
              <w:rPr>
                <w:rFonts w:ascii="Times New Roman" w:eastAsia="Times New Roman" w:hAnsi="Times New Roman" w:cs="Times New Roman"/>
                <w:b/>
                <w:bCs/>
                <w:color w:val="000000"/>
                <w:sz w:val="24"/>
                <w:szCs w:val="24"/>
              </w:rPr>
              <w:t xml:space="preserve"> </w:t>
            </w:r>
          </w:p>
        </w:tc>
      </w:tr>
      <w:tr w:rsidR="00B34A8F" w:rsidRPr="00B34A8F" w:rsidTr="00DF0F40">
        <w:trPr>
          <w:trHeight w:val="1260"/>
        </w:trPr>
        <w:tc>
          <w:tcPr>
            <w:tcW w:w="2855" w:type="dxa"/>
            <w:vMerge w:val="restart"/>
            <w:tcBorders>
              <w:top w:val="nil"/>
              <w:left w:val="nil"/>
              <w:bottom w:val="single" w:sz="4" w:space="0" w:color="000000"/>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 </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 xml:space="preserve"> OHT 0 - 7 days after LVAD</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 xml:space="preserve"> OHT 8 - 31 days after LVAD</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 xml:space="preserve"> OHT 32 - 65 days after LVAD</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 xml:space="preserve"> OHT 66 days or more after LVAD</w:t>
            </w:r>
          </w:p>
        </w:tc>
        <w:tc>
          <w:tcPr>
            <w:tcW w:w="1580" w:type="dxa"/>
            <w:vMerge w:val="restart"/>
            <w:tcBorders>
              <w:top w:val="nil"/>
              <w:left w:val="nil"/>
              <w:bottom w:val="single" w:sz="4" w:space="0" w:color="000000"/>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p-value (early group vs. pooled other groups)</w:t>
            </w:r>
          </w:p>
        </w:tc>
      </w:tr>
      <w:tr w:rsidR="00B34A8F" w:rsidRPr="00B34A8F" w:rsidTr="00DF0F40">
        <w:trPr>
          <w:trHeight w:val="315"/>
        </w:trPr>
        <w:tc>
          <w:tcPr>
            <w:tcW w:w="2855" w:type="dxa"/>
            <w:vMerge/>
            <w:tcBorders>
              <w:top w:val="nil"/>
              <w:left w:val="nil"/>
              <w:bottom w:val="single" w:sz="4" w:space="0" w:color="000000"/>
              <w:right w:val="nil"/>
            </w:tcBorders>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p>
        </w:tc>
        <w:tc>
          <w:tcPr>
            <w:tcW w:w="1580" w:type="dxa"/>
            <w:tcBorders>
              <w:top w:val="nil"/>
              <w:left w:val="nil"/>
              <w:bottom w:val="single" w:sz="4" w:space="0" w:color="000000"/>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(n = 41)</w:t>
            </w:r>
          </w:p>
        </w:tc>
        <w:tc>
          <w:tcPr>
            <w:tcW w:w="1580" w:type="dxa"/>
            <w:tcBorders>
              <w:top w:val="nil"/>
              <w:left w:val="nil"/>
              <w:bottom w:val="single" w:sz="4" w:space="0" w:color="000000"/>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(n = 38)</w:t>
            </w:r>
          </w:p>
        </w:tc>
        <w:tc>
          <w:tcPr>
            <w:tcW w:w="1580" w:type="dxa"/>
            <w:tcBorders>
              <w:top w:val="nil"/>
              <w:left w:val="nil"/>
              <w:bottom w:val="single" w:sz="4" w:space="0" w:color="000000"/>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(n = 42)</w:t>
            </w:r>
          </w:p>
        </w:tc>
        <w:tc>
          <w:tcPr>
            <w:tcW w:w="1580" w:type="dxa"/>
            <w:tcBorders>
              <w:top w:val="nil"/>
              <w:left w:val="nil"/>
              <w:bottom w:val="single" w:sz="4" w:space="0" w:color="000000"/>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Cs/>
                <w:color w:val="000000"/>
                <w:sz w:val="24"/>
                <w:szCs w:val="24"/>
              </w:rPr>
            </w:pPr>
            <w:r w:rsidRPr="00DF0F40">
              <w:rPr>
                <w:rFonts w:ascii="Times New Roman" w:eastAsia="Times New Roman" w:hAnsi="Times New Roman" w:cs="Times New Roman"/>
                <w:bCs/>
                <w:color w:val="000000"/>
                <w:sz w:val="24"/>
                <w:szCs w:val="24"/>
              </w:rPr>
              <w:t>(n = 43)</w:t>
            </w:r>
          </w:p>
        </w:tc>
        <w:tc>
          <w:tcPr>
            <w:tcW w:w="1580" w:type="dxa"/>
            <w:vMerge/>
            <w:tcBorders>
              <w:top w:val="nil"/>
              <w:left w:val="nil"/>
              <w:bottom w:val="single" w:sz="4" w:space="0" w:color="000000"/>
              <w:right w:val="nil"/>
            </w:tcBorders>
            <w:vAlign w:val="center"/>
            <w:hideMark/>
          </w:tcPr>
          <w:p w:rsidR="00B34A8F" w:rsidRPr="00B34A8F" w:rsidRDefault="00B34A8F" w:rsidP="00B34A8F">
            <w:pPr>
              <w:spacing w:after="0" w:line="240" w:lineRule="auto"/>
              <w:rPr>
                <w:rFonts w:ascii="Times New Roman" w:eastAsia="Times New Roman" w:hAnsi="Times New Roman" w:cs="Times New Roman"/>
                <w:b/>
                <w:bCs/>
                <w:color w:val="000000"/>
                <w:sz w:val="24"/>
                <w:szCs w:val="24"/>
              </w:rPr>
            </w:pPr>
          </w:p>
        </w:tc>
      </w:tr>
      <w:tr w:rsidR="00B34A8F" w:rsidRPr="00B34A8F" w:rsidTr="00DF0F40">
        <w:trPr>
          <w:trHeight w:val="315"/>
        </w:trPr>
        <w:tc>
          <w:tcPr>
            <w:tcW w:w="2855" w:type="dxa"/>
            <w:tcBorders>
              <w:top w:val="nil"/>
              <w:left w:val="nil"/>
              <w:bottom w:val="nil"/>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Length of stay (SD)</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
                <w:color w:val="000000"/>
                <w:sz w:val="24"/>
                <w:szCs w:val="24"/>
              </w:rPr>
            </w:pPr>
            <w:r w:rsidRPr="00DF0F40">
              <w:rPr>
                <w:rFonts w:ascii="Times New Roman" w:eastAsia="Times New Roman" w:hAnsi="Times New Roman" w:cs="Times New Roman"/>
                <w:b/>
                <w:color w:val="000000"/>
                <w:sz w:val="24"/>
                <w:szCs w:val="24"/>
              </w:rPr>
              <w:t>39.3 ± 33.2</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
                <w:color w:val="000000"/>
                <w:sz w:val="24"/>
                <w:szCs w:val="24"/>
              </w:rPr>
            </w:pPr>
            <w:r w:rsidRPr="00DF0F40">
              <w:rPr>
                <w:rFonts w:ascii="Times New Roman" w:eastAsia="Times New Roman" w:hAnsi="Times New Roman" w:cs="Times New Roman"/>
                <w:b/>
                <w:color w:val="000000"/>
                <w:sz w:val="24"/>
                <w:szCs w:val="24"/>
              </w:rPr>
              <w:t>48.87 ± 25.6</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
                <w:color w:val="000000"/>
                <w:sz w:val="24"/>
                <w:szCs w:val="24"/>
              </w:rPr>
            </w:pPr>
            <w:r w:rsidRPr="00DF0F40">
              <w:rPr>
                <w:rFonts w:ascii="Times New Roman" w:eastAsia="Times New Roman" w:hAnsi="Times New Roman" w:cs="Times New Roman"/>
                <w:b/>
                <w:color w:val="000000"/>
                <w:sz w:val="24"/>
                <w:szCs w:val="24"/>
              </w:rPr>
              <w:t>85.8 ± 40.1</w:t>
            </w:r>
          </w:p>
        </w:tc>
        <w:tc>
          <w:tcPr>
            <w:tcW w:w="1580" w:type="dxa"/>
            <w:tcBorders>
              <w:top w:val="nil"/>
              <w:left w:val="nil"/>
              <w:bottom w:val="nil"/>
              <w:right w:val="nil"/>
            </w:tcBorders>
            <w:shd w:val="clear" w:color="auto" w:fill="auto"/>
            <w:vAlign w:val="center"/>
            <w:hideMark/>
          </w:tcPr>
          <w:p w:rsidR="00B34A8F" w:rsidRPr="00DF0F40" w:rsidRDefault="00EC0958" w:rsidP="00B34A8F">
            <w:pPr>
              <w:spacing w:after="0" w:line="240" w:lineRule="auto"/>
              <w:jc w:val="center"/>
              <w:rPr>
                <w:rFonts w:ascii="Times New Roman" w:eastAsia="Times New Roman" w:hAnsi="Times New Roman" w:cs="Times New Roman"/>
                <w:b/>
                <w:color w:val="000000"/>
                <w:sz w:val="24"/>
                <w:szCs w:val="24"/>
              </w:rPr>
            </w:pPr>
            <w:r w:rsidRPr="00DF0F40">
              <w:rPr>
                <w:rFonts w:ascii="Times New Roman" w:eastAsia="Times New Roman" w:hAnsi="Times New Roman" w:cs="Times New Roman"/>
                <w:b/>
                <w:color w:val="000000"/>
                <w:sz w:val="24"/>
                <w:szCs w:val="24"/>
              </w:rPr>
              <w:t>151.2  ± 52.6</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p &lt; 0.001</w:t>
            </w:r>
          </w:p>
        </w:tc>
      </w:tr>
      <w:tr w:rsidR="00B34A8F" w:rsidRPr="00B34A8F" w:rsidTr="00DF0F40">
        <w:trPr>
          <w:trHeight w:val="315"/>
        </w:trPr>
        <w:tc>
          <w:tcPr>
            <w:tcW w:w="2855" w:type="dxa"/>
            <w:tcBorders>
              <w:top w:val="nil"/>
              <w:left w:val="nil"/>
              <w:bottom w:val="nil"/>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Mortality (%)</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11 (26.8)</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5 (13.2)</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5 (11.9)</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5 (11.6)</w:t>
            </w:r>
          </w:p>
        </w:tc>
        <w:tc>
          <w:tcPr>
            <w:tcW w:w="1580" w:type="dxa"/>
            <w:tcBorders>
              <w:top w:val="nil"/>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b/>
                <w:bCs/>
                <w:color w:val="000000"/>
                <w:sz w:val="24"/>
                <w:szCs w:val="24"/>
              </w:rPr>
            </w:pPr>
            <w:r w:rsidRPr="00B34A8F">
              <w:rPr>
                <w:rFonts w:ascii="Times New Roman" w:eastAsia="Times New Roman" w:hAnsi="Times New Roman" w:cs="Times New Roman"/>
                <w:b/>
                <w:bCs/>
                <w:color w:val="000000"/>
                <w:sz w:val="24"/>
                <w:szCs w:val="24"/>
              </w:rPr>
              <w:t>p = 0.0483</w:t>
            </w:r>
          </w:p>
        </w:tc>
      </w:tr>
      <w:tr w:rsidR="00B34A8F" w:rsidRPr="00B34A8F" w:rsidTr="00DF0F40">
        <w:trPr>
          <w:trHeight w:val="315"/>
        </w:trPr>
        <w:tc>
          <w:tcPr>
            <w:tcW w:w="2855"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Age, mean (SD)</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50.6 ± 12.6</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48.6 ± 12.7</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47.4 ± 15.3</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46.3  ± 13.1</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p = 0.1667</w:t>
            </w:r>
          </w:p>
        </w:tc>
      </w:tr>
      <w:tr w:rsidR="00B34A8F" w:rsidRPr="00B34A8F" w:rsidTr="00DF0F40">
        <w:trPr>
          <w:trHeight w:val="315"/>
        </w:trPr>
        <w:tc>
          <w:tcPr>
            <w:tcW w:w="10755" w:type="dxa"/>
            <w:gridSpan w:val="6"/>
            <w:tcBorders>
              <w:top w:val="nil"/>
              <w:left w:val="nil"/>
              <w:bottom w:val="nil"/>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Sex, n (%)</w:t>
            </w: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Male</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(19.5)</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(15.8)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(16.7)</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9 (20.9)</w:t>
            </w:r>
          </w:p>
        </w:tc>
        <w:tc>
          <w:tcPr>
            <w:tcW w:w="1580" w:type="dxa"/>
            <w:vMerge w:val="restart"/>
            <w:tcBorders>
              <w:top w:val="nil"/>
              <w:left w:val="nil"/>
              <w:right w:val="nil"/>
            </w:tcBorders>
            <w:shd w:val="clear" w:color="auto" w:fill="auto"/>
            <w:hideMark/>
          </w:tcPr>
          <w:p w:rsidR="00BD2197"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p w:rsidR="00BD2197" w:rsidRDefault="00BD2197" w:rsidP="00DF0F40">
            <w:pPr>
              <w:spacing w:after="0" w:line="240" w:lineRule="auto"/>
              <w:jc w:val="center"/>
              <w:rPr>
                <w:rFonts w:ascii="Times New Roman" w:eastAsia="Times New Roman" w:hAnsi="Times New Roman" w:cs="Times New Roman"/>
                <w:b/>
                <w:bCs/>
                <w:color w:val="000000"/>
                <w:sz w:val="24"/>
                <w:szCs w:val="24"/>
              </w:rPr>
            </w:pPr>
          </w:p>
          <w:p w:rsidR="00BD2197" w:rsidRDefault="00BD2197" w:rsidP="00DF0F40">
            <w:pPr>
              <w:spacing w:after="0" w:line="240" w:lineRule="auto"/>
              <w:jc w:val="center"/>
              <w:rPr>
                <w:rFonts w:ascii="Times New Roman" w:eastAsia="Times New Roman" w:hAnsi="Times New Roman" w:cs="Times New Roman"/>
                <w:b/>
                <w:bCs/>
                <w:color w:val="000000"/>
                <w:sz w:val="24"/>
                <w:szCs w:val="24"/>
              </w:rPr>
            </w:pPr>
          </w:p>
        </w:tc>
      </w:tr>
      <w:tr w:rsidR="00305687" w:rsidRPr="00B34A8F" w:rsidTr="00DF0F40">
        <w:trPr>
          <w:trHeight w:val="477"/>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Female</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33 (80.5)</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32 (84.2)</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35 (83.3)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34 (79.1)</w:t>
            </w:r>
          </w:p>
        </w:tc>
        <w:tc>
          <w:tcPr>
            <w:tcW w:w="1580" w:type="dxa"/>
            <w:vMerge/>
            <w:tcBorders>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162"/>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Default="00305687" w:rsidP="00B34A8F">
            <w:pPr>
              <w:spacing w:after="0" w:line="240" w:lineRule="auto"/>
              <w:jc w:val="center"/>
              <w:rPr>
                <w:rFonts w:ascii="Times New Roman" w:eastAsia="Times New Roman" w:hAnsi="Times New Roman" w:cs="Times New Roman"/>
                <w:color w:val="000000"/>
                <w:sz w:val="24"/>
                <w:szCs w:val="24"/>
              </w:rPr>
            </w:pPr>
          </w:p>
        </w:tc>
      </w:tr>
      <w:tr w:rsidR="00B34A8F" w:rsidRPr="00B34A8F" w:rsidTr="00DF0F40">
        <w:trPr>
          <w:trHeight w:val="315"/>
        </w:trPr>
        <w:tc>
          <w:tcPr>
            <w:tcW w:w="10755" w:type="dxa"/>
            <w:gridSpan w:val="6"/>
            <w:tcBorders>
              <w:top w:val="nil"/>
              <w:left w:val="nil"/>
              <w:bottom w:val="nil"/>
              <w:right w:val="nil"/>
            </w:tcBorders>
            <w:shd w:val="clear" w:color="auto" w:fill="auto"/>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Race, n (%)</w:t>
            </w: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White</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25 (61.0)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19 (50.0)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23 (54.8)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22 (51.2)</w:t>
            </w:r>
          </w:p>
        </w:tc>
        <w:tc>
          <w:tcPr>
            <w:tcW w:w="1580" w:type="dxa"/>
            <w:vMerge w:val="restart"/>
            <w:tcBorders>
              <w:top w:val="nil"/>
              <w:left w:val="nil"/>
              <w:right w:val="nil"/>
            </w:tcBorders>
            <w:shd w:val="clear" w:color="auto" w:fill="auto"/>
            <w:hideMark/>
          </w:tcPr>
          <w:p w:rsidR="00BD2197"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Black</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5 (13.2)</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(14.0)</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Hispanic</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(18.4)</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 (4.8)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5 (11.6)</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Asian/Pacific Islander</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 (4.9)</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 (2.4)</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 (9.3)</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Native American</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612"/>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Other or unknown</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(19.5)</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(18.4)</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(14.0)</w:t>
            </w:r>
          </w:p>
        </w:tc>
        <w:tc>
          <w:tcPr>
            <w:tcW w:w="1580" w:type="dxa"/>
            <w:vMerge/>
            <w:tcBorders>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162"/>
        </w:trPr>
        <w:tc>
          <w:tcPr>
            <w:tcW w:w="2855" w:type="dxa"/>
            <w:tcBorders>
              <w:top w:val="nil"/>
              <w:left w:val="nil"/>
              <w:bottom w:val="nil"/>
              <w:right w:val="nil"/>
            </w:tcBorders>
            <w:shd w:val="clear" w:color="auto" w:fill="auto"/>
            <w:vAlign w:val="center"/>
            <w:hideMark/>
          </w:tcPr>
          <w:p w:rsidR="00305687" w:rsidRPr="00DF0F40" w:rsidRDefault="00305687" w:rsidP="00B34A8F">
            <w:pPr>
              <w:spacing w:after="0" w:line="240" w:lineRule="auto"/>
              <w:rPr>
                <w:rFonts w:ascii="Times New Roman" w:eastAsia="Times New Roman" w:hAnsi="Times New Roman" w:cs="Times New Roman"/>
                <w:color w:val="000000"/>
                <w:sz w:val="2"/>
                <w:szCs w:val="2"/>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B34A8F" w:rsidRPr="00B34A8F" w:rsidTr="00DF0F40">
        <w:trPr>
          <w:trHeight w:val="315"/>
        </w:trPr>
        <w:tc>
          <w:tcPr>
            <w:tcW w:w="10755" w:type="dxa"/>
            <w:gridSpan w:val="6"/>
            <w:tcBorders>
              <w:top w:val="nil"/>
              <w:left w:val="nil"/>
              <w:bottom w:val="nil"/>
              <w:right w:val="nil"/>
            </w:tcBorders>
            <w:shd w:val="clear" w:color="auto" w:fill="auto"/>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Median household income, n (%)</w:t>
            </w: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$1-24,999</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 (9.8)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(21.1)</w:t>
            </w:r>
          </w:p>
        </w:tc>
        <w:tc>
          <w:tcPr>
            <w:tcW w:w="1580" w:type="dxa"/>
            <w:tcBorders>
              <w:top w:val="nil"/>
              <w:left w:val="nil"/>
              <w:bottom w:val="nil"/>
              <w:right w:val="nil"/>
            </w:tcBorders>
            <w:shd w:val="clear" w:color="auto" w:fill="auto"/>
            <w:noWrap/>
            <w:vAlign w:val="bottom"/>
            <w:hideMark/>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8 (19.0)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(18.6)</w:t>
            </w:r>
          </w:p>
        </w:tc>
        <w:tc>
          <w:tcPr>
            <w:tcW w:w="1580" w:type="dxa"/>
            <w:vMerge w:val="restart"/>
            <w:tcBorders>
              <w:top w:val="nil"/>
              <w:left w:val="nil"/>
              <w:right w:val="nil"/>
            </w:tcBorders>
            <w:shd w:val="clear" w:color="auto" w:fill="auto"/>
            <w:hideMark/>
          </w:tcPr>
          <w:p w:rsidR="00BD2197"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$25,000-34,999</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10 (24.4)</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10 (26.3)</w:t>
            </w:r>
          </w:p>
        </w:tc>
        <w:tc>
          <w:tcPr>
            <w:tcW w:w="1580" w:type="dxa"/>
            <w:tcBorders>
              <w:top w:val="nil"/>
              <w:left w:val="nil"/>
              <w:bottom w:val="nil"/>
              <w:right w:val="nil"/>
            </w:tcBorders>
            <w:shd w:val="clear" w:color="auto" w:fill="auto"/>
            <w:noWrap/>
            <w:vAlign w:val="bottom"/>
            <w:hideMark/>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10 (23.8)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(16.3)</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$35,000-44,999</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(29.3)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(21.1)</w:t>
            </w:r>
          </w:p>
        </w:tc>
        <w:tc>
          <w:tcPr>
            <w:tcW w:w="1580" w:type="dxa"/>
            <w:tcBorders>
              <w:top w:val="nil"/>
              <w:left w:val="nil"/>
              <w:bottom w:val="nil"/>
              <w:right w:val="nil"/>
            </w:tcBorders>
            <w:shd w:val="clear" w:color="auto" w:fill="auto"/>
            <w:noWrap/>
            <w:vAlign w:val="bottom"/>
            <w:hideMark/>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10 (23.8)</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13 (30.2)</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31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$45,000 or more</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(29.3)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(31.6)</w:t>
            </w:r>
          </w:p>
        </w:tc>
        <w:tc>
          <w:tcPr>
            <w:tcW w:w="1580" w:type="dxa"/>
            <w:tcBorders>
              <w:top w:val="nil"/>
              <w:left w:val="nil"/>
              <w:bottom w:val="nil"/>
              <w:right w:val="nil"/>
            </w:tcBorders>
            <w:shd w:val="clear" w:color="auto" w:fill="auto"/>
            <w:noWrap/>
            <w:vAlign w:val="bottom"/>
            <w:hideMark/>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14 (33.3)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14 (32.6)</w:t>
            </w:r>
          </w:p>
        </w:tc>
        <w:tc>
          <w:tcPr>
            <w:tcW w:w="1580" w:type="dxa"/>
            <w:vMerge/>
            <w:tcBorders>
              <w:left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DF0F40">
        <w:trPr>
          <w:trHeight w:val="465"/>
        </w:trPr>
        <w:tc>
          <w:tcPr>
            <w:tcW w:w="2855" w:type="dxa"/>
            <w:tcBorders>
              <w:top w:val="nil"/>
              <w:left w:val="nil"/>
              <w:bottom w:val="nil"/>
              <w:right w:val="nil"/>
            </w:tcBorders>
            <w:shd w:val="clear" w:color="auto" w:fill="auto"/>
            <w:vAlign w:val="center"/>
            <w:hideMark/>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Unknown</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noWrap/>
            <w:vAlign w:val="bottom"/>
            <w:hideMark/>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0 (0.0)</w:t>
            </w:r>
          </w:p>
        </w:tc>
        <w:tc>
          <w:tcPr>
            <w:tcW w:w="1580" w:type="dxa"/>
            <w:tcBorders>
              <w:top w:val="nil"/>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 (2.3)</w:t>
            </w:r>
          </w:p>
        </w:tc>
        <w:tc>
          <w:tcPr>
            <w:tcW w:w="1580" w:type="dxa"/>
            <w:vMerge/>
            <w:tcBorders>
              <w:left w:val="nil"/>
              <w:bottom w:val="nil"/>
              <w:right w:val="nil"/>
            </w:tcBorders>
            <w:shd w:val="clear" w:color="auto" w:fill="auto"/>
            <w:vAlign w:val="center"/>
            <w:hideMark/>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B34A8F" w:rsidRPr="00B34A8F" w:rsidTr="00DF0F40">
        <w:trPr>
          <w:trHeight w:val="1260"/>
        </w:trPr>
        <w:tc>
          <w:tcPr>
            <w:tcW w:w="2855" w:type="dxa"/>
            <w:tcBorders>
              <w:top w:val="nil"/>
              <w:left w:val="nil"/>
              <w:bottom w:val="nil"/>
              <w:right w:val="nil"/>
            </w:tcBorders>
            <w:shd w:val="clear" w:color="auto" w:fill="auto"/>
            <w:vAlign w:val="center"/>
            <w:hideMark/>
          </w:tcPr>
          <w:p w:rsidR="00B34A8F" w:rsidRPr="00B34A8F" w:rsidRDefault="00B34A8F"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Number of concomitant diagnosis, mean ± SD</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11.9 ± 3.1</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12.3 ± 3.0</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12.5  ± 3.2</w:t>
            </w:r>
          </w:p>
        </w:tc>
        <w:tc>
          <w:tcPr>
            <w:tcW w:w="1580" w:type="dxa"/>
            <w:tcBorders>
              <w:top w:val="single" w:sz="4" w:space="0" w:color="000000"/>
              <w:left w:val="nil"/>
              <w:bottom w:val="nil"/>
              <w:right w:val="nil"/>
            </w:tcBorders>
            <w:shd w:val="clear" w:color="auto" w:fill="auto"/>
            <w:vAlign w:val="center"/>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12.5  ± 3.2</w:t>
            </w:r>
          </w:p>
        </w:tc>
        <w:tc>
          <w:tcPr>
            <w:tcW w:w="1580" w:type="dxa"/>
            <w:tcBorders>
              <w:top w:val="nil"/>
              <w:left w:val="nil"/>
              <w:bottom w:val="nil"/>
              <w:right w:val="nil"/>
            </w:tcBorders>
            <w:shd w:val="clear" w:color="auto" w:fill="auto"/>
            <w:hideMark/>
          </w:tcPr>
          <w:p w:rsidR="00B34A8F" w:rsidRPr="00B34A8F" w:rsidRDefault="00B34A8F"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p = 0.2961</w:t>
            </w:r>
          </w:p>
        </w:tc>
      </w:tr>
    </w:tbl>
    <w:p w:rsidR="00305687" w:rsidRDefault="00305687">
      <w:pPr>
        <w:rPr>
          <w:sz w:val="24"/>
          <w:szCs w:val="24"/>
        </w:rPr>
      </w:pPr>
    </w:p>
    <w:p w:rsidR="00305687" w:rsidRDefault="00305687">
      <w:pPr>
        <w:rPr>
          <w:sz w:val="24"/>
          <w:szCs w:val="24"/>
        </w:rPr>
      </w:pPr>
    </w:p>
    <w:p w:rsidR="00305687" w:rsidRDefault="00305687">
      <w:pPr>
        <w:rPr>
          <w:sz w:val="24"/>
          <w:szCs w:val="24"/>
        </w:rPr>
      </w:pPr>
    </w:p>
    <w:p w:rsidR="00305687" w:rsidRPr="00DF0F40" w:rsidRDefault="00305687">
      <w:pPr>
        <w:rPr>
          <w:sz w:val="24"/>
          <w:szCs w:val="24"/>
        </w:rPr>
      </w:pPr>
    </w:p>
    <w:p w:rsidR="006E641A" w:rsidRPr="00DF0F40" w:rsidRDefault="006E641A">
      <w:pPr>
        <w:rPr>
          <w:sz w:val="24"/>
          <w:szCs w:val="24"/>
        </w:rPr>
      </w:pPr>
    </w:p>
    <w:p w:rsidR="00305687" w:rsidRDefault="003A4A10">
      <w:pPr>
        <w:rPr>
          <w:sz w:val="24"/>
          <w:szCs w:val="24"/>
        </w:rPr>
      </w:pPr>
      <w:r w:rsidRPr="00DF0F40">
        <w:rPr>
          <w:noProof/>
          <w:sz w:val="24"/>
          <w:szCs w:val="24"/>
        </w:rPr>
        <w:drawing>
          <wp:inline distT="0" distB="0" distL="0" distR="0" wp14:anchorId="2FAC293B" wp14:editId="7AB67C6B">
            <wp:extent cx="5943600" cy="118872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305687" w:rsidRDefault="00305687">
      <w:pPr>
        <w:rPr>
          <w:sz w:val="24"/>
          <w:szCs w:val="24"/>
        </w:rPr>
      </w:pPr>
    </w:p>
    <w:p w:rsidR="006E641A" w:rsidRPr="00DF0F40" w:rsidRDefault="006E641A">
      <w:pPr>
        <w:rPr>
          <w:sz w:val="24"/>
          <w:szCs w:val="24"/>
        </w:rPr>
      </w:pPr>
    </w:p>
    <w:p w:rsidR="00B34A8F" w:rsidRPr="00DF0F40" w:rsidRDefault="003A4A10">
      <w:pPr>
        <w:rPr>
          <w:sz w:val="24"/>
          <w:szCs w:val="24"/>
        </w:rPr>
      </w:pPr>
      <w:r w:rsidRPr="00DF0F40">
        <w:rPr>
          <w:noProof/>
          <w:sz w:val="24"/>
          <w:szCs w:val="24"/>
        </w:rPr>
        <w:drawing>
          <wp:inline distT="0" distB="0" distL="0" distR="0" wp14:anchorId="1301A4E3" wp14:editId="411F536F">
            <wp:extent cx="4766310" cy="2789603"/>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DF0F40">
        <w:rPr>
          <w:noProof/>
          <w:sz w:val="24"/>
          <w:szCs w:val="24"/>
        </w:rPr>
        <w:drawing>
          <wp:inline distT="0" distB="0" distL="0" distR="0" wp14:anchorId="69D0A14A" wp14:editId="03C8772B">
            <wp:extent cx="4838700" cy="27432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641A" w:rsidRPr="00DF0F40" w:rsidRDefault="006E641A">
      <w:pPr>
        <w:rPr>
          <w:sz w:val="24"/>
          <w:szCs w:val="24"/>
        </w:rPr>
      </w:pPr>
    </w:p>
    <w:sectPr w:rsidR="006E641A" w:rsidRPr="00DF0F40"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150E55"/>
    <w:rsid w:val="001879CE"/>
    <w:rsid w:val="00225C92"/>
    <w:rsid w:val="00261958"/>
    <w:rsid w:val="0029381B"/>
    <w:rsid w:val="00305687"/>
    <w:rsid w:val="003A4A10"/>
    <w:rsid w:val="003C1A34"/>
    <w:rsid w:val="004025CA"/>
    <w:rsid w:val="00420447"/>
    <w:rsid w:val="0047164F"/>
    <w:rsid w:val="005024C0"/>
    <w:rsid w:val="00503E24"/>
    <w:rsid w:val="00523553"/>
    <w:rsid w:val="00526BE8"/>
    <w:rsid w:val="00592DA7"/>
    <w:rsid w:val="00652086"/>
    <w:rsid w:val="00670432"/>
    <w:rsid w:val="006B21E9"/>
    <w:rsid w:val="006E641A"/>
    <w:rsid w:val="0077093C"/>
    <w:rsid w:val="00846B14"/>
    <w:rsid w:val="00910A55"/>
    <w:rsid w:val="0098240A"/>
    <w:rsid w:val="009F101A"/>
    <w:rsid w:val="00A118CB"/>
    <w:rsid w:val="00A53B55"/>
    <w:rsid w:val="00B26373"/>
    <w:rsid w:val="00B34A8F"/>
    <w:rsid w:val="00BD2197"/>
    <w:rsid w:val="00C2537F"/>
    <w:rsid w:val="00CE15F8"/>
    <w:rsid w:val="00D10399"/>
    <w:rsid w:val="00DE1472"/>
    <w:rsid w:val="00DF0F40"/>
    <w:rsid w:val="00EC09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40697-D47B-4EC6-8743-2D55CBD8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solidFill>
                  <a:srgbClr val="FF0000"/>
                </a:solidFill>
              </a:ln>
              <a:effectLst/>
            </c:spPr>
          </c:dPt>
          <c:cat>
            <c:strRef>
              <c:f>Sheet3!$R$169:$V$169</c:f>
              <c:strCache>
                <c:ptCount val="5"/>
                <c:pt idx="0">
                  <c:v>0-8</c:v>
                </c:pt>
                <c:pt idx="1">
                  <c:v>9-32</c:v>
                </c:pt>
                <c:pt idx="2">
                  <c:v>33-66</c:v>
                </c:pt>
                <c:pt idx="3">
                  <c:v>67-306</c:v>
                </c:pt>
                <c:pt idx="4">
                  <c:v>OHT-</c:v>
                </c:pt>
              </c:strCache>
            </c:strRef>
          </c:cat>
          <c:val>
            <c:numRef>
              <c:f>Sheet3!$R$170:$V$170</c:f>
              <c:numCache>
                <c:formatCode>General</c:formatCode>
                <c:ptCount val="5"/>
                <c:pt idx="0">
                  <c:v>28.888888888888893</c:v>
                </c:pt>
                <c:pt idx="1">
                  <c:v>10.256410256410271</c:v>
                </c:pt>
                <c:pt idx="2">
                  <c:v>10</c:v>
                </c:pt>
                <c:pt idx="3">
                  <c:v>12.5</c:v>
                </c:pt>
                <c:pt idx="4">
                  <c:v>27.701375245579602</c:v>
                </c:pt>
              </c:numCache>
            </c:numRef>
          </c:val>
        </c:ser>
        <c:dLbls>
          <c:showLegendKey val="0"/>
          <c:showVal val="0"/>
          <c:showCatName val="0"/>
          <c:showSerName val="0"/>
          <c:showPercent val="0"/>
          <c:showBubbleSize val="0"/>
        </c:dLbls>
        <c:gapWidth val="150"/>
        <c:axId val="635299912"/>
        <c:axId val="635296776"/>
      </c:barChart>
      <c:catAx>
        <c:axId val="635299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96776"/>
        <c:crosses val="autoZero"/>
        <c:auto val="1"/>
        <c:lblAlgn val="ctr"/>
        <c:lblOffset val="100"/>
        <c:noMultiLvlLbl val="0"/>
      </c:catAx>
      <c:valAx>
        <c:axId val="63529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99912"/>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aseline="0" dirty="0"/>
              <a:t>Change in risk ratio of in-hospital LVAD to OHT mortality by hospital day</a:t>
            </a:r>
            <a:endParaRPr lang="en-US" sz="1000" dirty="0"/>
          </a:p>
        </c:rich>
      </c:tx>
      <c:overlay val="0"/>
      <c:spPr>
        <a:noFill/>
        <a:ln>
          <a:noFill/>
        </a:ln>
        <a:effectLst/>
      </c:spPr>
    </c:title>
    <c:autoTitleDeleted val="0"/>
    <c:plotArea>
      <c:layout/>
      <c:scatterChart>
        <c:scatterStyle val="smooth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power"/>
            <c:dispRSqr val="0"/>
            <c:dispEq val="0"/>
          </c:trendline>
          <c:xVal>
            <c:numRef>
              <c:f>Sheet1!$Z$76:$Z$134</c:f>
              <c:numCache>
                <c:formatCode>General</c:formatCode>
                <c:ptCount val="59"/>
                <c:pt idx="0">
                  <c:v>0</c:v>
                </c:pt>
                <c:pt idx="1">
                  <c:v>1</c:v>
                </c:pt>
                <c:pt idx="2">
                  <c:v>2</c:v>
                </c:pt>
                <c:pt idx="3">
                  <c:v>4</c:v>
                </c:pt>
                <c:pt idx="4">
                  <c:v>5</c:v>
                </c:pt>
                <c:pt idx="5">
                  <c:v>6</c:v>
                </c:pt>
                <c:pt idx="6">
                  <c:v>7</c:v>
                </c:pt>
                <c:pt idx="7">
                  <c:v>8</c:v>
                </c:pt>
                <c:pt idx="8">
                  <c:v>9</c:v>
                </c:pt>
                <c:pt idx="9">
                  <c:v>10</c:v>
                </c:pt>
                <c:pt idx="10">
                  <c:v>11</c:v>
                </c:pt>
                <c:pt idx="11">
                  <c:v>12</c:v>
                </c:pt>
                <c:pt idx="12">
                  <c:v>14</c:v>
                </c:pt>
                <c:pt idx="13">
                  <c:v>15</c:v>
                </c:pt>
                <c:pt idx="14">
                  <c:v>16</c:v>
                </c:pt>
                <c:pt idx="15">
                  <c:v>17</c:v>
                </c:pt>
                <c:pt idx="16">
                  <c:v>18</c:v>
                </c:pt>
                <c:pt idx="17">
                  <c:v>20</c:v>
                </c:pt>
                <c:pt idx="18">
                  <c:v>21</c:v>
                </c:pt>
                <c:pt idx="19">
                  <c:v>22</c:v>
                </c:pt>
                <c:pt idx="20">
                  <c:v>25</c:v>
                </c:pt>
                <c:pt idx="21">
                  <c:v>26</c:v>
                </c:pt>
                <c:pt idx="22">
                  <c:v>27</c:v>
                </c:pt>
                <c:pt idx="23">
                  <c:v>28</c:v>
                </c:pt>
                <c:pt idx="24">
                  <c:v>30</c:v>
                </c:pt>
                <c:pt idx="25">
                  <c:v>32</c:v>
                </c:pt>
                <c:pt idx="26">
                  <c:v>33</c:v>
                </c:pt>
                <c:pt idx="27">
                  <c:v>34</c:v>
                </c:pt>
                <c:pt idx="28">
                  <c:v>35</c:v>
                </c:pt>
                <c:pt idx="29">
                  <c:v>36</c:v>
                </c:pt>
                <c:pt idx="30">
                  <c:v>37</c:v>
                </c:pt>
                <c:pt idx="31">
                  <c:v>38</c:v>
                </c:pt>
                <c:pt idx="32">
                  <c:v>40</c:v>
                </c:pt>
                <c:pt idx="33">
                  <c:v>42</c:v>
                </c:pt>
                <c:pt idx="34">
                  <c:v>43</c:v>
                </c:pt>
                <c:pt idx="35">
                  <c:v>45</c:v>
                </c:pt>
                <c:pt idx="36">
                  <c:v>46</c:v>
                </c:pt>
                <c:pt idx="37">
                  <c:v>47</c:v>
                </c:pt>
                <c:pt idx="38">
                  <c:v>48</c:v>
                </c:pt>
                <c:pt idx="39">
                  <c:v>51</c:v>
                </c:pt>
                <c:pt idx="40">
                  <c:v>53</c:v>
                </c:pt>
                <c:pt idx="41">
                  <c:v>54</c:v>
                </c:pt>
                <c:pt idx="42">
                  <c:v>55</c:v>
                </c:pt>
                <c:pt idx="43">
                  <c:v>60</c:v>
                </c:pt>
                <c:pt idx="44">
                  <c:v>61</c:v>
                </c:pt>
                <c:pt idx="45">
                  <c:v>62</c:v>
                </c:pt>
                <c:pt idx="46">
                  <c:v>64</c:v>
                </c:pt>
                <c:pt idx="47">
                  <c:v>65</c:v>
                </c:pt>
                <c:pt idx="48">
                  <c:v>66</c:v>
                </c:pt>
                <c:pt idx="49">
                  <c:v>67</c:v>
                </c:pt>
                <c:pt idx="50">
                  <c:v>68</c:v>
                </c:pt>
                <c:pt idx="51">
                  <c:v>70</c:v>
                </c:pt>
                <c:pt idx="52">
                  <c:v>71</c:v>
                </c:pt>
                <c:pt idx="53">
                  <c:v>72</c:v>
                </c:pt>
                <c:pt idx="54">
                  <c:v>75</c:v>
                </c:pt>
                <c:pt idx="55">
                  <c:v>77</c:v>
                </c:pt>
                <c:pt idx="56">
                  <c:v>78</c:v>
                </c:pt>
                <c:pt idx="57">
                  <c:v>79</c:v>
                </c:pt>
                <c:pt idx="58">
                  <c:v>80</c:v>
                </c:pt>
              </c:numCache>
            </c:numRef>
          </c:xVal>
          <c:yVal>
            <c:numRef>
              <c:f>Sheet1!$AA$76:$AA$134</c:f>
              <c:numCache>
                <c:formatCode>General</c:formatCode>
                <c:ptCount val="59"/>
                <c:pt idx="0">
                  <c:v>3.0264550264550225</c:v>
                </c:pt>
                <c:pt idx="1">
                  <c:v>2.868686868686869</c:v>
                </c:pt>
                <c:pt idx="2">
                  <c:v>2.9435294117647057</c:v>
                </c:pt>
                <c:pt idx="3">
                  <c:v>2.2713472485768555</c:v>
                </c:pt>
                <c:pt idx="4">
                  <c:v>2.1016042780748672</c:v>
                </c:pt>
                <c:pt idx="5">
                  <c:v>2.0723684210526279</c:v>
                </c:pt>
                <c:pt idx="6">
                  <c:v>2.2000000000000002</c:v>
                </c:pt>
                <c:pt idx="7">
                  <c:v>2.6444444444444444</c:v>
                </c:pt>
                <c:pt idx="8">
                  <c:v>2.5652173913043481</c:v>
                </c:pt>
                <c:pt idx="9">
                  <c:v>2.3469387755102038</c:v>
                </c:pt>
                <c:pt idx="10">
                  <c:v>2.2156862745098027</c:v>
                </c:pt>
                <c:pt idx="11">
                  <c:v>2.0943396226415096</c:v>
                </c:pt>
                <c:pt idx="12">
                  <c:v>2.25</c:v>
                </c:pt>
                <c:pt idx="13">
                  <c:v>2.1900584795321603</c:v>
                </c:pt>
                <c:pt idx="14">
                  <c:v>2.0222222222222221</c:v>
                </c:pt>
                <c:pt idx="15">
                  <c:v>1.9699453551912569</c:v>
                </c:pt>
                <c:pt idx="16">
                  <c:v>1.8703703703703705</c:v>
                </c:pt>
                <c:pt idx="17">
                  <c:v>2.0247933884297553</c:v>
                </c:pt>
                <c:pt idx="18">
                  <c:v>1.9251336898395719</c:v>
                </c:pt>
                <c:pt idx="19">
                  <c:v>1.8774703557312253</c:v>
                </c:pt>
                <c:pt idx="20">
                  <c:v>1.8311688311688321</c:v>
                </c:pt>
                <c:pt idx="21">
                  <c:v>1.7861715749039706</c:v>
                </c:pt>
                <c:pt idx="22">
                  <c:v>1.6584766584766586</c:v>
                </c:pt>
                <c:pt idx="23">
                  <c:v>1.8077922077922064</c:v>
                </c:pt>
                <c:pt idx="24">
                  <c:v>1.7215189873417722</c:v>
                </c:pt>
                <c:pt idx="25">
                  <c:v>1.7989417989417988</c:v>
                </c:pt>
                <c:pt idx="26">
                  <c:v>1.7131782945736418</c:v>
                </c:pt>
                <c:pt idx="27">
                  <c:v>1.5917602996254661</c:v>
                </c:pt>
                <c:pt idx="28">
                  <c:v>1.5152625152625154</c:v>
                </c:pt>
                <c:pt idx="29">
                  <c:v>1.4066193853427882</c:v>
                </c:pt>
                <c:pt idx="30">
                  <c:v>1.371929824561404</c:v>
                </c:pt>
                <c:pt idx="31">
                  <c:v>1.5541237113402062</c:v>
                </c:pt>
                <c:pt idx="32">
                  <c:v>1.5153061224489797</c:v>
                </c:pt>
                <c:pt idx="33">
                  <c:v>1.44</c:v>
                </c:pt>
                <c:pt idx="34">
                  <c:v>1.3676470588235301</c:v>
                </c:pt>
                <c:pt idx="35">
                  <c:v>1.2980769230769251</c:v>
                </c:pt>
                <c:pt idx="36">
                  <c:v>1.264285714285716</c:v>
                </c:pt>
                <c:pt idx="37">
                  <c:v>1.2311320754716979</c:v>
                </c:pt>
                <c:pt idx="38">
                  <c:v>1.1985981308411233</c:v>
                </c:pt>
                <c:pt idx="39">
                  <c:v>1.1045454545454545</c:v>
                </c:pt>
                <c:pt idx="40">
                  <c:v>1.0446428571428572</c:v>
                </c:pt>
                <c:pt idx="41">
                  <c:v>1.0154867256637181</c:v>
                </c:pt>
                <c:pt idx="42">
                  <c:v>1.1565217391304348</c:v>
                </c:pt>
                <c:pt idx="43">
                  <c:v>1.3793103448275863</c:v>
                </c:pt>
                <c:pt idx="44">
                  <c:v>1.3390313390313391</c:v>
                </c:pt>
                <c:pt idx="45">
                  <c:v>1.299435028248588</c:v>
                </c:pt>
                <c:pt idx="46">
                  <c:v>1.54</c:v>
                </c:pt>
                <c:pt idx="47">
                  <c:v>1.4925619834710744</c:v>
                </c:pt>
                <c:pt idx="48">
                  <c:v>1.3548387096774193</c:v>
                </c:pt>
                <c:pt idx="49">
                  <c:v>1.3104000000000002</c:v>
                </c:pt>
                <c:pt idx="50">
                  <c:v>1.2666666666666666</c:v>
                </c:pt>
                <c:pt idx="51">
                  <c:v>1.1812499999999999</c:v>
                </c:pt>
                <c:pt idx="52">
                  <c:v>1.1395348837209298</c:v>
                </c:pt>
                <c:pt idx="53">
                  <c:v>1.0580152671755725</c:v>
                </c:pt>
                <c:pt idx="54">
                  <c:v>1.3333333333333333</c:v>
                </c:pt>
                <c:pt idx="55">
                  <c:v>1.2313432835820879</c:v>
                </c:pt>
                <c:pt idx="56">
                  <c:v>1.181481481481482</c:v>
                </c:pt>
                <c:pt idx="57">
                  <c:v>1.036231884057971</c:v>
                </c:pt>
                <c:pt idx="58">
                  <c:v>0.98920863309352614</c:v>
                </c:pt>
              </c:numCache>
            </c:numRef>
          </c:yVal>
          <c:smooth val="1"/>
        </c:ser>
        <c:ser>
          <c:idx val="1"/>
          <c:order val="1"/>
          <c:spPr>
            <a:ln w="19050" cap="rnd">
              <a:solidFill>
                <a:srgbClr val="FF0000"/>
              </a:solidFill>
              <a:round/>
            </a:ln>
            <a:effectLst/>
          </c:spPr>
          <c:marker>
            <c:symbol val="circle"/>
            <c:size val="5"/>
            <c:spPr>
              <a:solidFill>
                <a:srgbClr val="FF0000"/>
              </a:solidFill>
              <a:ln w="9525">
                <a:solidFill>
                  <a:srgbClr val="FF0000"/>
                </a:solidFill>
              </a:ln>
              <a:effectLst/>
            </c:spPr>
          </c:marker>
          <c:dLbls>
            <c:dLbl>
              <c:idx val="0"/>
              <c:layout>
                <c:manualLayout>
                  <c:x val="-0.17500000000000004"/>
                  <c:y val="-0.14814778361038225"/>
                </c:manualLayout>
              </c:layout>
              <c:tx>
                <c:rich>
                  <a:bodyPr rot="0" spcFirstLastPara="1" vertOverflow="ellipsis" vert="horz" wrap="square" lIns="38100" tIns="19050" rIns="38100" bIns="19050" anchor="ctr" anchorCtr="1">
                    <a:spAutoFit/>
                  </a:bodyPr>
                  <a:lstStyle/>
                  <a:p>
                    <a:pPr>
                      <a:defRPr sz="800" b="0" i="0" u="none" strike="noStrike" kern="1200" baseline="0">
                        <a:solidFill>
                          <a:srgbClr val="FF0000"/>
                        </a:solidFill>
                        <a:latin typeface="+mn-lt"/>
                        <a:ea typeface="+mn-ea"/>
                        <a:cs typeface="+mn-cs"/>
                      </a:defRPr>
                    </a:pPr>
                    <a:r>
                      <a:rPr lang="en-US" sz="800">
                        <a:solidFill>
                          <a:srgbClr val="FF0000"/>
                        </a:solidFill>
                      </a:rPr>
                      <a:t>Average wait time for OHT = 57.6</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0.20531955380577427"/>
                      <c:h val="0.16645851560221639"/>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FF0000"/>
                      </a:solidFill>
                      <a:round/>
                    </a:ln>
                    <a:effectLst/>
                  </c:spPr>
                </c15:leaderLines>
              </c:ext>
            </c:extLst>
          </c:dLbls>
          <c:xVal>
            <c:numRef>
              <c:f>Sheet1!$Z$135</c:f>
              <c:numCache>
                <c:formatCode>General</c:formatCode>
                <c:ptCount val="1"/>
                <c:pt idx="0">
                  <c:v>57.6</c:v>
                </c:pt>
              </c:numCache>
            </c:numRef>
          </c:xVal>
          <c:yVal>
            <c:numRef>
              <c:f>Sheet1!$AA$135</c:f>
              <c:numCache>
                <c:formatCode>General</c:formatCode>
                <c:ptCount val="1"/>
                <c:pt idx="0">
                  <c:v>1.27</c:v>
                </c:pt>
              </c:numCache>
            </c:numRef>
          </c:yVal>
          <c:smooth val="1"/>
        </c:ser>
        <c:dLbls>
          <c:showLegendKey val="0"/>
          <c:showVal val="0"/>
          <c:showCatName val="0"/>
          <c:showSerName val="0"/>
          <c:showPercent val="0"/>
          <c:showBubbleSize val="0"/>
        </c:dLbls>
        <c:axId val="635298344"/>
        <c:axId val="635298736"/>
      </c:scatterChart>
      <c:valAx>
        <c:axId val="635298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for </a:t>
                </a:r>
                <a:r>
                  <a:rPr lang="en-US" baseline="0"/>
                  <a:t>OHT</a:t>
                </a:r>
                <a:r>
                  <a:rPr lang="en-US"/>
                  <a:t> after LVAD implant (days)</a:t>
                </a:r>
              </a:p>
            </c:rich>
          </c:tx>
          <c:overlay val="0"/>
          <c:spPr>
            <a:noFill/>
            <a:ln>
              <a:noFill/>
            </a:ln>
            <a:effectLst/>
          </c:sp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98736"/>
        <c:crosses val="autoZero"/>
        <c:crossBetween val="midCat"/>
      </c:valAx>
      <c:valAx>
        <c:axId val="6352987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 Ratio</a:t>
                </a:r>
                <a:r>
                  <a:rPr lang="en-US" baseline="0"/>
                  <a:t>                                                       </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𝑃</a:t>
                </a:r>
                <a:r>
                  <a:rPr lang="en-US" sz="700" i="0" u="none" baseline="-25000">
                    <a:effectLst/>
                    <a:latin typeface="Cambria Math" panose="02040503050406030204" pitchFamily="18" charset="0"/>
                    <a:ea typeface="Calibri" panose="020F0502020204030204" pitchFamily="34" charset="0"/>
                    <a:cs typeface="Times New Roman" panose="02020603050405020304" pitchFamily="18" charset="0"/>
                  </a:rPr>
                  <a:t>𝑚𝑜𝑟𝑡𝑎𝑙𝑖𝑡𝑦 </a:t>
                </a:r>
                <a:r>
                  <a:rPr lang="en-US" sz="700" i="1" u="none" baseline="0">
                    <a:effectLst/>
                    <a:latin typeface="Cambria Math" panose="02040503050406030204" pitchFamily="18" charset="0"/>
                    <a:ea typeface="Calibri" panose="020F0502020204030204" pitchFamily="34" charset="0"/>
                    <a:cs typeface="Times New Roman" panose="02020603050405020304" pitchFamily="18" charset="0"/>
                  </a:rPr>
                  <a:t>when</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 𝑑𝑎𝑦 𝑜𝑓 𝑂𝐻𝑇 ≤ 𝑥</a:t>
                </a:r>
                <a:r>
                  <a:rPr lang="en-US" sz="700" i="0" u="none" baseline="0">
                    <a:effectLst/>
                    <a:latin typeface="Cambria Math" panose="02040503050406030204" pitchFamily="18" charset="0"/>
                    <a:ea typeface="Calibri" panose="020F0502020204030204" pitchFamily="34" charset="0"/>
                    <a:cs typeface="Times New Roman" panose="02020603050405020304" pitchFamily="18" charset="0"/>
                  </a:rPr>
                  <a:t>   </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                                               </a:t>
                </a:r>
                <a:r>
                  <a:rPr lang="en-US" sz="700" i="0">
                    <a:effectLst/>
                    <a:latin typeface="Cambria Math" panose="02040503050406030204" pitchFamily="18" charset="0"/>
                    <a:ea typeface="Calibri" panose="020F0502020204030204" pitchFamily="34" charset="0"/>
                    <a:cs typeface="Times New Roman" panose="02020603050405020304" pitchFamily="18" charset="0"/>
                  </a:rPr>
                  <a:t>𝑃</a:t>
                </a:r>
                <a:r>
                  <a:rPr lang="en-US" sz="700" i="0" baseline="-25000">
                    <a:effectLst/>
                    <a:latin typeface="Cambria Math" panose="02040503050406030204" pitchFamily="18" charset="0"/>
                    <a:ea typeface="Calibri" panose="020F0502020204030204" pitchFamily="34" charset="0"/>
                    <a:cs typeface="Times New Roman" panose="02020603050405020304" pitchFamily="18" charset="0"/>
                  </a:rPr>
                  <a:t>𝑚𝑜𝑟𝑡𝑎𝑙𝑖𝑡𝑦 </a:t>
                </a:r>
                <a:r>
                  <a:rPr lang="en-US" sz="700" i="1" baseline="0">
                    <a:effectLst/>
                    <a:latin typeface="Cambria Math" panose="02040503050406030204" pitchFamily="18" charset="0"/>
                    <a:ea typeface="Calibri" panose="020F0502020204030204" pitchFamily="34" charset="0"/>
                    <a:cs typeface="Times New Roman" panose="02020603050405020304" pitchFamily="18" charset="0"/>
                  </a:rPr>
                  <a:t>when</a:t>
                </a:r>
                <a:r>
                  <a:rPr lang="en-US" sz="700" i="0">
                    <a:effectLst/>
                    <a:latin typeface="Cambria Math" panose="02040503050406030204" pitchFamily="18" charset="0"/>
                    <a:ea typeface="Calibri" panose="020F0502020204030204" pitchFamily="34" charset="0"/>
                    <a:cs typeface="Times New Roman" panose="02020603050405020304" pitchFamily="18" charset="0"/>
                  </a:rPr>
                  <a:t> 𝑑𝑎𝑦 𝑜𝑓 𝑂𝐻𝑇 &gt;𝑥</a:t>
                </a:r>
                <a:endParaRPr lang="en-US" sz="700">
                  <a:effectLst/>
                  <a:latin typeface="Calibri" panose="020F0502020204030204" pitchFamily="34" charset="0"/>
                  <a:ea typeface="Calibri" panose="020F0502020204030204" pitchFamily="34" charset="0"/>
                  <a:cs typeface="Times New Roman" panose="02020603050405020304" pitchFamily="18" charset="0"/>
                </a:endParaRPr>
              </a:p>
            </c:rich>
          </c:tx>
          <c:overlay val="0"/>
          <c:spPr>
            <a:noFill/>
            <a:ln>
              <a:noFill/>
            </a:ln>
            <a:effectLst/>
          </c:sp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98344"/>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0.08976</cdr:x>
      <cdr:y>0.32917</cdr:y>
    </cdr:from>
    <cdr:to>
      <cdr:x>0.08976</cdr:x>
      <cdr:y>0.72917</cdr:y>
    </cdr:to>
    <cdr:cxnSp macro="">
      <cdr:nvCxnSpPr>
        <cdr:cNvPr id="3" name="Straight Connector 2"/>
        <cdr:cNvCxnSpPr/>
      </cdr:nvCxnSpPr>
      <cdr:spPr>
        <a:xfrm xmlns:a="http://schemas.openxmlformats.org/drawingml/2006/main" flipH="1">
          <a:off x="434340" y="902970"/>
          <a:ext cx="0" cy="1097280"/>
        </a:xfrm>
        <a:prstGeom xmlns:a="http://schemas.openxmlformats.org/drawingml/2006/main" prst="line">
          <a:avLst/>
        </a:prstGeom>
        <a:ln xmlns:a="http://schemas.openxmlformats.org/drawingml/2006/main">
          <a:solidFill>
            <a:schemeClr val="tx1">
              <a:lumMod val="50000"/>
              <a:lumOff val="50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3</cp:revision>
  <dcterms:created xsi:type="dcterms:W3CDTF">2015-10-28T06:20:00Z</dcterms:created>
  <dcterms:modified xsi:type="dcterms:W3CDTF">2015-10-28T06:21:00Z</dcterms:modified>
</cp:coreProperties>
</file>